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Payment Terms &amp; Discount Schedule</w:t>
      </w:r>
    </w:p>
    <w:p>
      <w:r>
        <w:rPr>
          <w:i/>
        </w:rPr>
        <w:t>Northwind Outdoor Co. — Finance Department</w:t>
      </w:r>
    </w:p>
    <w:p>
      <w:r>
        <w:t>Effective date: 1 October 2025. Owner: VP Finance, Reilly Bauer. This document is the canonical reference for payable terms across active production vendors. Any deviation must be approved by Finance in writing.</w:t>
      </w:r>
    </w:p>
    <w:p>
      <w:pPr>
        <w:pStyle w:val="Heading1"/>
      </w:pPr>
      <w:r>
        <w:t>1. Standard Payable Policy</w:t>
      </w:r>
    </w:p>
    <w:p>
      <w:r>
        <w:t>Northwind operates a Net 45 standard payable cycle. Vendors offering early-payment discounts of 2.0% or greater on Net 10 are paid on the discount cycle by default. Vendors with negotiated extended terms (Net 60 or longer) are flagged below and require Treasury approval for any acceleration.</w:t>
      </w:r>
    </w:p>
    <w:p>
      <w:pPr>
        <w:pStyle w:val="Heading1"/>
      </w:pPr>
      <w:r>
        <w:t>2. Vendor Terms Table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Vendor</w:t>
            </w:r>
          </w:p>
        </w:tc>
        <w:tc>
          <w:tcPr>
            <w:tcW w:type="dxa" w:w="1440"/>
          </w:tcPr>
          <w:p>
            <w:r>
              <w:rPr>
                <w:b/>
              </w:rPr>
              <w:t>Category</w:t>
            </w:r>
          </w:p>
        </w:tc>
        <w:tc>
          <w:tcPr>
            <w:tcW w:type="dxa" w:w="1440"/>
          </w:tcPr>
          <w:p>
            <w:r>
              <w:rPr>
                <w:b/>
              </w:rPr>
              <w:t>Terms</w:t>
            </w:r>
          </w:p>
        </w:tc>
        <w:tc>
          <w:tcPr>
            <w:tcW w:type="dxa" w:w="1440"/>
          </w:tcPr>
          <w:p>
            <w:r>
              <w:rPr>
                <w:b/>
              </w:rPr>
              <w:t>Early-pay discount</w:t>
            </w:r>
          </w:p>
        </w:tc>
        <w:tc>
          <w:tcPr>
            <w:tcW w:type="dxa" w:w="1440"/>
          </w:tcPr>
          <w:p>
            <w:r>
              <w:rPr>
                <w:b/>
              </w:rPr>
              <w:t>Currency</w:t>
            </w:r>
          </w:p>
        </w:tc>
        <w:tc>
          <w:tcPr>
            <w:tcW w:type="dxa" w:w="1440"/>
          </w:tcPr>
          <w:p>
            <w:r>
              <w:rPr>
                <w:b/>
              </w:rPr>
              <w:t>Tier</w:t>
            </w:r>
          </w:p>
        </w:tc>
      </w:tr>
      <w:tr>
        <w:tc>
          <w:tcPr>
            <w:tcW w:type="dxa" w:w="1440"/>
          </w:tcPr>
          <w:p>
            <w:r>
              <w:t>Acme Textiles</w:t>
            </w:r>
          </w:p>
        </w:tc>
        <w:tc>
          <w:tcPr>
            <w:tcW w:type="dxa" w:w="1440"/>
          </w:tcPr>
          <w:p>
            <w:r>
              <w:t>Apparel fabric</w:t>
            </w:r>
          </w:p>
        </w:tc>
        <w:tc>
          <w:tcPr>
            <w:tcW w:type="dxa" w:w="1440"/>
          </w:tcPr>
          <w:p>
            <w:r>
              <w:t>Net 90</w:t>
            </w:r>
          </w:p>
        </w:tc>
        <w:tc>
          <w:tcPr>
            <w:tcW w:type="dxa" w:w="1440"/>
          </w:tcPr>
          <w:p>
            <w:r>
              <w:t>1.0% / 10</w:t>
            </w:r>
          </w:p>
        </w:tc>
        <w:tc>
          <w:tcPr>
            <w:tcW w:type="dxa" w:w="1440"/>
          </w:tcPr>
          <w:p>
            <w:r>
              <w:t>USD</w:t>
            </w:r>
          </w:p>
        </w:tc>
        <w:tc>
          <w:tcPr>
            <w:tcW w:type="dxa" w:w="1440"/>
          </w:tcPr>
          <w:p>
            <w:r>
              <w:t>Strategic</w:t>
            </w:r>
          </w:p>
        </w:tc>
      </w:tr>
      <w:tr>
        <w:tc>
          <w:tcPr>
            <w:tcW w:type="dxa" w:w="1440"/>
          </w:tcPr>
          <w:p>
            <w:r>
              <w:t>Cascade Down</w:t>
            </w:r>
          </w:p>
        </w:tc>
        <w:tc>
          <w:tcPr>
            <w:tcW w:type="dxa" w:w="1440"/>
          </w:tcPr>
          <w:p>
            <w:r>
              <w:t>Insulation fill</w:t>
            </w:r>
          </w:p>
        </w:tc>
        <w:tc>
          <w:tcPr>
            <w:tcW w:type="dxa" w:w="1440"/>
          </w:tcPr>
          <w:p>
            <w:r>
              <w:t>Net 30</w:t>
            </w:r>
          </w:p>
        </w:tc>
        <w:tc>
          <w:tcPr>
            <w:tcW w:type="dxa" w:w="1440"/>
          </w:tcPr>
          <w:p>
            <w:r>
              <w:t>3.5% / 10</w:t>
            </w:r>
          </w:p>
        </w:tc>
        <w:tc>
          <w:tcPr>
            <w:tcW w:type="dxa" w:w="1440"/>
          </w:tcPr>
          <w:p>
            <w:r>
              <w:t>USD</w:t>
            </w:r>
          </w:p>
        </w:tc>
        <w:tc>
          <w:tcPr>
            <w:tcW w:type="dxa" w:w="1440"/>
          </w:tcPr>
          <w:p>
            <w:r>
              <w:t>Critical</w:t>
            </w:r>
          </w:p>
        </w:tc>
      </w:tr>
      <w:tr>
        <w:tc>
          <w:tcPr>
            <w:tcW w:type="dxa" w:w="1440"/>
          </w:tcPr>
          <w:p>
            <w:r>
              <w:t>Sierra Hardware</w:t>
            </w:r>
          </w:p>
        </w:tc>
        <w:tc>
          <w:tcPr>
            <w:tcW w:type="dxa" w:w="1440"/>
          </w:tcPr>
          <w:p>
            <w:r>
              <w:t>Tent poles</w:t>
            </w:r>
          </w:p>
        </w:tc>
        <w:tc>
          <w:tcPr>
            <w:tcW w:type="dxa" w:w="1440"/>
          </w:tcPr>
          <w:p>
            <w:r>
              <w:t>Net 45</w:t>
            </w:r>
          </w:p>
        </w:tc>
        <w:tc>
          <w:tcPr>
            <w:tcW w:type="dxa" w:w="1440"/>
          </w:tcPr>
          <w:p>
            <w:r>
              <w:t>2.0% / 10</w:t>
            </w:r>
          </w:p>
        </w:tc>
        <w:tc>
          <w:tcPr>
            <w:tcW w:type="dxa" w:w="1440"/>
          </w:tcPr>
          <w:p>
            <w:r>
              <w:t>USD</w:t>
            </w:r>
          </w:p>
        </w:tc>
        <w:tc>
          <w:tcPr>
            <w:tcW w:type="dxa" w:w="1440"/>
          </w:tcPr>
          <w:p>
            <w:r>
              <w:t>Standard</w:t>
            </w:r>
          </w:p>
        </w:tc>
      </w:tr>
      <w:tr>
        <w:tc>
          <w:tcPr>
            <w:tcW w:type="dxa" w:w="1440"/>
          </w:tcPr>
          <w:p>
            <w:r>
              <w:t>Pacific Zipper Co.</w:t>
            </w:r>
          </w:p>
        </w:tc>
        <w:tc>
          <w:tcPr>
            <w:tcW w:type="dxa" w:w="1440"/>
          </w:tcPr>
          <w:p>
            <w:r>
              <w:t>Zippers &amp; sliders</w:t>
            </w:r>
          </w:p>
        </w:tc>
        <w:tc>
          <w:tcPr>
            <w:tcW w:type="dxa" w:w="1440"/>
          </w:tcPr>
          <w:p>
            <w:r>
              <w:t>Net 60</w:t>
            </w:r>
          </w:p>
        </w:tc>
        <w:tc>
          <w:tcPr>
            <w:tcW w:type="dxa" w:w="1440"/>
          </w:tcPr>
          <w:p>
            <w:r>
              <w:t>1.5% / 15</w:t>
            </w:r>
          </w:p>
        </w:tc>
        <w:tc>
          <w:tcPr>
            <w:tcW w:type="dxa" w:w="1440"/>
          </w:tcPr>
          <w:p>
            <w:r>
              <w:t>USD</w:t>
            </w:r>
          </w:p>
        </w:tc>
        <w:tc>
          <w:tcPr>
            <w:tcW w:type="dxa" w:w="1440"/>
          </w:tcPr>
          <w:p>
            <w:r>
              <w:t>Single-source</w:t>
            </w:r>
          </w:p>
        </w:tc>
      </w:tr>
      <w:tr>
        <w:tc>
          <w:tcPr>
            <w:tcW w:type="dxa" w:w="1440"/>
          </w:tcPr>
          <w:p>
            <w:r>
              <w:t>Alpenwerk GmbH</w:t>
            </w:r>
          </w:p>
        </w:tc>
        <w:tc>
          <w:tcPr>
            <w:tcW w:type="dxa" w:w="1440"/>
          </w:tcPr>
          <w:p>
            <w:r>
              <w:t>Stoves &amp; cookware</w:t>
            </w:r>
          </w:p>
        </w:tc>
        <w:tc>
          <w:tcPr>
            <w:tcW w:type="dxa" w:w="1440"/>
          </w:tcPr>
          <w:p>
            <w:r>
              <w:t>Net 45</w:t>
            </w:r>
          </w:p>
        </w:tc>
        <w:tc>
          <w:tcPr>
            <w:tcW w:type="dxa" w:w="1440"/>
          </w:tcPr>
          <w:p>
            <w:r>
              <w:t>2.0% / 10</w:t>
            </w:r>
          </w:p>
        </w:tc>
        <w:tc>
          <w:tcPr>
            <w:tcW w:type="dxa" w:w="1440"/>
          </w:tcPr>
          <w:p>
            <w:r>
              <w:t>EUR</w:t>
            </w:r>
          </w:p>
        </w:tc>
        <w:tc>
          <w:tcPr>
            <w:tcW w:type="dxa" w:w="1440"/>
          </w:tcPr>
          <w:p>
            <w:r>
              <w:t>Standard</w:t>
            </w:r>
          </w:p>
        </w:tc>
      </w:tr>
      <w:tr>
        <w:tc>
          <w:tcPr>
            <w:tcW w:type="dxa" w:w="1440"/>
          </w:tcPr>
          <w:p>
            <w:r>
              <w:t>Tundra Tech</w:t>
            </w:r>
          </w:p>
        </w:tc>
        <w:tc>
          <w:tcPr>
            <w:tcW w:type="dxa" w:w="1440"/>
          </w:tcPr>
          <w:p>
            <w:r>
              <w:t>Sleeping bag fill</w:t>
            </w:r>
          </w:p>
        </w:tc>
        <w:tc>
          <w:tcPr>
            <w:tcW w:type="dxa" w:w="1440"/>
          </w:tcPr>
          <w:p>
            <w:r>
              <w:t>Net 30</w:t>
            </w:r>
          </w:p>
        </w:tc>
        <w:tc>
          <w:tcPr>
            <w:tcW w:type="dxa" w:w="1440"/>
          </w:tcPr>
          <w:p>
            <w:r>
              <w:t>2.5% / 10</w:t>
            </w:r>
          </w:p>
        </w:tc>
        <w:tc>
          <w:tcPr>
            <w:tcW w:type="dxa" w:w="1440"/>
          </w:tcPr>
          <w:p>
            <w:r>
              <w:t>USD</w:t>
            </w:r>
          </w:p>
        </w:tc>
        <w:tc>
          <w:tcPr>
            <w:tcW w:type="dxa" w:w="1440"/>
          </w:tcPr>
          <w:p>
            <w:r>
              <w:t>Critical</w:t>
            </w:r>
          </w:p>
        </w:tc>
      </w:tr>
      <w:tr>
        <w:tc>
          <w:tcPr>
            <w:tcW w:type="dxa" w:w="1440"/>
          </w:tcPr>
          <w:p>
            <w:r>
              <w:t>Coastal Webbing</w:t>
            </w:r>
          </w:p>
        </w:tc>
        <w:tc>
          <w:tcPr>
            <w:tcW w:type="dxa" w:w="1440"/>
          </w:tcPr>
          <w:p>
            <w:r>
              <w:t>Straps &amp; webbing</w:t>
            </w:r>
          </w:p>
        </w:tc>
        <w:tc>
          <w:tcPr>
            <w:tcW w:type="dxa" w:w="1440"/>
          </w:tcPr>
          <w:p>
            <w:r>
              <w:t>Net 45</w:t>
            </w:r>
          </w:p>
        </w:tc>
        <w:tc>
          <w:tcPr>
            <w:tcW w:type="dxa" w:w="1440"/>
          </w:tcPr>
          <w:p>
            <w:r>
              <w:t>1.0% / 10</w:t>
            </w:r>
          </w:p>
        </w:tc>
        <w:tc>
          <w:tcPr>
            <w:tcW w:type="dxa" w:w="1440"/>
          </w:tcPr>
          <w:p>
            <w:r>
              <w:t>USD</w:t>
            </w:r>
          </w:p>
        </w:tc>
        <w:tc>
          <w:tcPr>
            <w:tcW w:type="dxa" w:w="1440"/>
          </w:tcPr>
          <w:p>
            <w:r>
              <w:t>Standard</w:t>
            </w:r>
          </w:p>
        </w:tc>
      </w:tr>
      <w:tr>
        <w:tc>
          <w:tcPr>
            <w:tcW w:type="dxa" w:w="1440"/>
          </w:tcPr>
          <w:p>
            <w:r>
              <w:t>Mountain Films Ltd.</w:t>
            </w:r>
          </w:p>
        </w:tc>
        <w:tc>
          <w:tcPr>
            <w:tcW w:type="dxa" w:w="1440"/>
          </w:tcPr>
          <w:p>
            <w:r>
              <w:t>Laminates</w:t>
            </w:r>
          </w:p>
        </w:tc>
        <w:tc>
          <w:tcPr>
            <w:tcW w:type="dxa" w:w="1440"/>
          </w:tcPr>
          <w:p>
            <w:r>
              <w:t>Net 60</w:t>
            </w:r>
          </w:p>
        </w:tc>
        <w:tc>
          <w:tcPr>
            <w:tcW w:type="dxa" w:w="1440"/>
          </w:tcPr>
          <w:p>
            <w:r>
              <w:t>1.5% / 10</w:t>
            </w:r>
          </w:p>
        </w:tc>
        <w:tc>
          <w:tcPr>
            <w:tcW w:type="dxa" w:w="1440"/>
          </w:tcPr>
          <w:p>
            <w:r>
              <w:t>GBP</w:t>
            </w:r>
          </w:p>
        </w:tc>
        <w:tc>
          <w:tcPr>
            <w:tcW w:type="dxa" w:w="1440"/>
          </w:tcPr>
          <w:p>
            <w:r>
              <w:t>Standard</w:t>
            </w:r>
          </w:p>
        </w:tc>
      </w:tr>
      <w:tr>
        <w:tc>
          <w:tcPr>
            <w:tcW w:type="dxa" w:w="1440"/>
          </w:tcPr>
          <w:p>
            <w:r>
              <w:t>Redwood Plastics</w:t>
            </w:r>
          </w:p>
        </w:tc>
        <w:tc>
          <w:tcPr>
            <w:tcW w:type="dxa" w:w="1440"/>
          </w:tcPr>
          <w:p>
            <w:r>
              <w:t>Buckles &amp; clips</w:t>
            </w:r>
          </w:p>
        </w:tc>
        <w:tc>
          <w:tcPr>
            <w:tcW w:type="dxa" w:w="1440"/>
          </w:tcPr>
          <w:p>
            <w:r>
              <w:t>Net 30</w:t>
            </w:r>
          </w:p>
        </w:tc>
        <w:tc>
          <w:tcPr>
            <w:tcW w:type="dxa" w:w="1440"/>
          </w:tcPr>
          <w:p>
            <w:r>
              <w:t>2.0% / 10</w:t>
            </w:r>
          </w:p>
        </w:tc>
        <w:tc>
          <w:tcPr>
            <w:tcW w:type="dxa" w:w="1440"/>
          </w:tcPr>
          <w:p>
            <w:r>
              <w:t>USD</w:t>
            </w:r>
          </w:p>
        </w:tc>
        <w:tc>
          <w:tcPr>
            <w:tcW w:type="dxa" w:w="1440"/>
          </w:tcPr>
          <w:p>
            <w:r>
              <w:t>Standard</w:t>
            </w:r>
          </w:p>
        </w:tc>
      </w:tr>
      <w:tr>
        <w:tc>
          <w:tcPr>
            <w:tcW w:type="dxa" w:w="1440"/>
          </w:tcPr>
          <w:p>
            <w:r>
              <w:t>Tradewind Logistics</w:t>
            </w:r>
          </w:p>
        </w:tc>
        <w:tc>
          <w:tcPr>
            <w:tcW w:type="dxa" w:w="1440"/>
          </w:tcPr>
          <w:p>
            <w:r>
              <w:t>Ocean freight</w:t>
            </w:r>
          </w:p>
        </w:tc>
        <w:tc>
          <w:tcPr>
            <w:tcW w:type="dxa" w:w="1440"/>
          </w:tcPr>
          <w:p>
            <w:r>
              <w:t>Net 15</w:t>
            </w:r>
          </w:p>
        </w:tc>
        <w:tc>
          <w:tcPr>
            <w:tcW w:type="dxa" w:w="1440"/>
          </w:tcPr>
          <w:p>
            <w:r>
              <w:t>None</w:t>
            </w:r>
          </w:p>
        </w:tc>
        <w:tc>
          <w:tcPr>
            <w:tcW w:type="dxa" w:w="1440"/>
          </w:tcPr>
          <w:p>
            <w:r>
              <w:t>USD</w:t>
            </w:r>
          </w:p>
        </w:tc>
        <w:tc>
          <w:tcPr>
            <w:tcW w:type="dxa" w:w="1440"/>
          </w:tcPr>
          <w:p>
            <w:r>
              <w:t>Critical</w:t>
            </w:r>
          </w:p>
        </w:tc>
      </w:tr>
    </w:tbl>
    <w:p>
      <w:pPr>
        <w:pStyle w:val="Heading1"/>
      </w:pPr>
      <w:r>
        <w:t>3. Critical Single-Source Vendors</w:t>
      </w:r>
    </w:p>
    <w:p>
      <w:r>
        <w:t>Pacific Zipper Co. is the only qualified supplier of YKK-compatible zipper sliders meeting our Tents specification. Any payment delay exceeding 7 days against negotiated terms must be escalated to the CFO. A backup qualification with Redwood Plastics is in progress with target completion Q1 FY2026.</w:t>
      </w:r>
    </w:p>
    <w:p>
      <w:pPr>
        <w:pStyle w:val="Heading1"/>
      </w:pPr>
      <w:r>
        <w:t>4. Early-Pay Capture Targets</w:t>
      </w:r>
    </w:p>
    <w:p>
      <w:r>
        <w:t>The Treasury team targets capturing 80% of available early-pay discounts when working-capital headroom exceeds $1.5M. In Q3 FY2025 the team captured $46,200 in discounts against $52,800 available, for an 87.5% capture rate.</w:t>
      </w:r>
    </w:p>
    <w:p>
      <w:pPr>
        <w:pStyle w:val="Heading1"/>
      </w:pPr>
      <w:r>
        <w:t>5. Currency Exposure</w:t>
      </w:r>
    </w:p>
    <w:p>
      <w:r>
        <w:t>Three vendors invoice in non-USD: Alpenwerk GmbH (EUR), Mountain Films Ltd. (GBP). FX exposure on open POs is hedged at 75% via forward contracts through our banking partner.</w:t>
      </w:r>
    </w:p>
    <w:p>
      <w:pPr>
        <w:pStyle w:val="Heading1"/>
      </w:pPr>
      <w:r>
        <w:t>6. Escalation Contacts</w:t>
      </w:r>
    </w:p>
    <w:p>
      <w:r>
        <w:t>AP issues: Maria Holguin (AP Manager) — maria.holguin@northwind.example. Terms negotiation: Reilly Bauer (VP Finance) — reilly.bauer@northwind.example. Vendor onboarding: Treasury via the Procurement portal.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