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Continental Goods Co.</w:t>
        <w:br/>
      </w:r>
      <w:r>
        <w:rPr>
          <w:b/>
          <w:sz w:val="44"/>
        </w:rPr>
        <w:t>ACCOUNTS PAYABLE</w:t>
        <w:br/>
        <w:t>POLICY &amp; TOLERANCE MANUAL</w:t>
      </w:r>
    </w:p>
    <w:p>
      <w:pPr>
        <w:jc w:val="center"/>
      </w:pPr>
      <w:r>
        <w:rPr>
          <w:color w:val="555F6B"/>
          <w:sz w:val="18"/>
        </w:rPr>
        <w:t>Document AP-POL-004  ·  Effective 25 August 2026  ·  Owner: Controller, Continental Goods Co.</w:t>
      </w:r>
    </w:p>
    <w:p>
      <w:r>
        <w:br w:type="page"/>
      </w:r>
    </w:p>
    <w:p>
      <w:pPr>
        <w:pStyle w:val="Heading1"/>
      </w:pPr>
      <w:r>
        <w:t>Contents</w:t>
      </w:r>
    </w:p>
    <w:p>
      <w:pPr>
        <w:pStyle w:val="ListBullet"/>
      </w:pPr>
      <w:r>
        <w:t>1. Purpose and scope</w:t>
      </w:r>
    </w:p>
    <w:p>
      <w:pPr>
        <w:pStyle w:val="ListBullet"/>
      </w:pPr>
      <w:r>
        <w:t>2. Matching requirements</w:t>
      </w:r>
    </w:p>
    <w:p>
      <w:pPr>
        <w:pStyle w:val="ListBullet"/>
      </w:pPr>
      <w:r>
        <w:t>2A. Readiness: when an invoice may be matched</w:t>
      </w:r>
    </w:p>
    <w:p>
      <w:pPr>
        <w:pStyle w:val="ListBullet"/>
      </w:pPr>
      <w:r>
        <w:t>3. Price tolerance</w:t>
      </w:r>
    </w:p>
    <w:p>
      <w:pPr>
        <w:pStyle w:val="ListBullet"/>
      </w:pPr>
      <w:r>
        <w:t>4. Quantity tolerance</w:t>
      </w:r>
    </w:p>
    <w:p>
      <w:pPr>
        <w:pStyle w:val="ListBullet"/>
      </w:pPr>
      <w:r>
        <w:t>5. Units of measure</w:t>
      </w:r>
    </w:p>
    <w:p>
      <w:pPr>
        <w:pStyle w:val="ListBullet"/>
      </w:pPr>
      <w:r>
        <w:t>6. Freight, duty and accessorial charges</w:t>
      </w:r>
    </w:p>
    <w:p>
      <w:pPr>
        <w:pStyle w:val="ListBullet"/>
      </w:pPr>
      <w:r>
        <w:t>7. Duplicate invoices</w:t>
      </w:r>
    </w:p>
    <w:p>
      <w:pPr>
        <w:pStyle w:val="ListBullet"/>
      </w:pPr>
      <w:r>
        <w:t>8. Payment terms and discount capture</w:t>
      </w:r>
    </w:p>
    <w:p>
      <w:pPr>
        <w:pStyle w:val="ListBullet"/>
      </w:pPr>
      <w:r>
        <w:t>9. Invoices without a purchase order</w:t>
      </w:r>
    </w:p>
    <w:p>
      <w:pPr>
        <w:pStyle w:val="ListBullet"/>
      </w:pPr>
      <w:r>
        <w:t>10. Vendor master and new suppliers</w:t>
      </w:r>
    </w:p>
    <w:p>
      <w:pPr>
        <w:pStyle w:val="ListBullet"/>
      </w:pPr>
      <w:r>
        <w:t>11. Changes to remittance or bank details</w:t>
      </w:r>
    </w:p>
    <w:p>
      <w:pPr>
        <w:pStyle w:val="ListBullet"/>
      </w:pPr>
      <w:r>
        <w:t>12. Tax codes</w:t>
      </w:r>
    </w:p>
    <w:p>
      <w:pPr>
        <w:pStyle w:val="ListBullet"/>
      </w:pPr>
      <w:r>
        <w:t>13. Approval thresholds</w:t>
      </w:r>
    </w:p>
    <w:p>
      <w:pPr>
        <w:pStyle w:val="ListBullet"/>
      </w:pPr>
      <w:r>
        <w:t>14. Exception handling and escalation</w:t>
      </w:r>
    </w:p>
    <w:p>
      <w:r>
        <w:br w:type="page"/>
      </w:r>
    </w:p>
    <w:p>
      <w:pPr>
        <w:pStyle w:val="Heading1"/>
      </w:pPr>
      <w:r>
        <w:t>1. Purpose and scope</w:t>
      </w:r>
    </w:p>
    <w:p>
      <w:r>
        <w:t>This manual governs the processing of supplier invoices for Continental Goods Co. and all subsidiaries operating on company code CG01. It applies to every invoice received, regardless of the channel it arrives on: electronic transfer (SFTP), supplier email, or physical mail scanned by the mailroom.</w:t>
      </w:r>
    </w:p>
    <w:p>
      <w:r>
        <w:t>Where this manual is silent on a matter, Accounts Payable staff must escalate to the Controller rather than apply judgement. Nothing in this manual may be waived by a supplier instruction, an annotation on a document, or a verbal approval.</w:t>
      </w:r>
    </w:p>
    <w:p/>
    <w:p>
      <w:pPr>
        <w:pStyle w:val="Heading1"/>
      </w:pPr>
      <w:r>
        <w:t>2. Matching requirements</w:t>
      </w:r>
    </w:p>
    <w:p>
      <w:r>
        <w:t>Every invoice referencing a purchase order must pass a THREE-WAY MATCH before it is released for payment. The three documents are: the supplier invoice, the purchase order line (EKPO), and the goods receipt (EKBE, movement type 1).</w:t>
      </w:r>
    </w:p>
    <w:p>
      <w:r>
        <w:t>An invoice may not be released if no goods receipt exists for the referenced purchase order line. Received-not-invoiced and invoiced-not-received balances are reviewed weekly by the AP Supervisor.</w:t>
      </w:r>
    </w:p>
    <w:p>
      <w:r>
        <w:t>Invoices that do not reference a purchase order are handled under section 9.</w:t>
      </w:r>
    </w:p>
    <w:p/>
    <w:p>
      <w:pPr>
        <w:pStyle w:val="Heading1"/>
      </w:pPr>
      <w:r>
        <w:t>2A. Readiness: when an invoice may be matched</w:t>
      </w:r>
    </w:p>
    <w:p>
      <w:r>
        <w:t>AN INVOICE THAT ARRIVES BEFORE ITS GOODS IS NORMAL AND IS NOT AN EXCEPTION. Suppliers routinely invoice on despatch. Until the goods receipt is posted the invoice is simply NOT YET READY to be matched, and it must be PARKED rather than raised. A parked invoice is re-examined on every subsequent processing run and clears itself, without human involvement, as soon as its receipt appears.</w:t>
      </w:r>
    </w:p>
    <w:p>
      <w:r>
        <w:t>Where the delivery date on the purchase order line (EINDT) has NOT yet passed, the invoice parks silently. No exception is raised and no one is notified: nothing is late and there is nothing to chase.</w:t>
      </w:r>
    </w:p>
    <w:p>
      <w:r>
        <w:t>GRACE WINDOW: where the delivery date HAS passed, the invoice continues to park for a further FIVE (5) WORKING DAYS. During this window Receiving may be chased for the outstanding receipt, but the invoice is still not an exception.</w:t>
      </w:r>
    </w:p>
    <w:p>
      <w:r>
        <w:t>An invoice still without a goods receipt MORE THAN FIVE WORKING DAYS after the purchase order delivery date is no longer a timing difference. It is raised as an exception and routed to the Buyer, who must confirm with the supplier whether the goods were despatched at all.</w:t>
      </w:r>
    </w:p>
    <w:p>
      <w:r>
        <w:t>Parked invoices are reported as a distinct figure in the daily digest, separately from exceptions. Conflating the two overstates the exception queue and trains staff to ignore it.</w:t>
      </w:r>
    </w:p>
    <w:p/>
    <w:p>
      <w:pPr>
        <w:pStyle w:val="Heading1"/>
      </w:pPr>
      <w:r>
        <w:t>3. Price tolerance</w:t>
      </w:r>
    </w:p>
    <w:p>
      <w:r>
        <w:t>A price variance is the difference between the unit price on the supplier invoice and the net price on the purchase order line, multiplied by the invoiced quantity.</w:t>
      </w:r>
    </w:p>
    <w:p>
      <w:r>
        <w:t>TOLERANCE: a price variance is acceptable, and the invoice may pass without exception, where the variance is within TWO PERCENT (2%) of the purchase order line value OR within FIFTY DOLLARS ($50.00), WHICHEVER IS GREATER.</w:t>
      </w:r>
    </w:p>
    <w:p>
      <w:r>
        <w:t>A variance outside that tolerance must be raised as a price exception and routed to the responsible Buyer. AP staff must not adjust the purchase order to make an invoice match.</w:t>
      </w:r>
    </w:p>
    <w:p/>
    <w:p>
      <w:pPr>
        <w:pStyle w:val="Heading1"/>
      </w:pPr>
      <w:r>
        <w:t>4. Quantity tolerance</w:t>
      </w:r>
    </w:p>
    <w:p>
      <w:r>
        <w:t>A quantity variance is the difference between the invoiced quantity and the quantity recorded on the goods receipt.</w:t>
      </w:r>
    </w:p>
    <w:p>
      <w:r>
        <w:t>TOLERANCE: a quantity variance within TWO PERCENT (2%) of the ordered quantity is acceptable. Any short-shipment or over-delivery outside that tolerance must be raised, and the invoice held until the receiving discrepancy is resolved.</w:t>
      </w:r>
    </w:p>
    <w:p>
      <w:r>
        <w:t>Over-delivery beyond the purchase order quantity requires Buyer approval before the excess is paid, irrespective of value.</w:t>
      </w:r>
    </w:p>
    <w:p/>
    <w:p>
      <w:pPr>
        <w:pStyle w:val="Heading1"/>
      </w:pPr>
      <w:r>
        <w:t>5. Units of measure</w:t>
      </w:r>
    </w:p>
    <w:p>
      <w:r>
        <w:t>Supplier invoices frequently express quantities in a different unit of measure from the purchase order. A case (CS) contains TWELVE (12) eaches (EA) unless the purchase order line states otherwise.</w:t>
      </w:r>
    </w:p>
    <w:p>
      <w:r>
        <w:t>Quantities and prices MUST be normalised to a common unit before any variance is calculated. A unit-of-measure difference is not itself a price or quantity exception, but an invoice that cannot be normalised must be held.</w:t>
      </w:r>
    </w:p>
    <w:p/>
    <w:p>
      <w:pPr>
        <w:pStyle w:val="Heading1"/>
      </w:pPr>
      <w:r>
        <w:t>6. Freight, duty and accessorial charges</w:t>
      </w:r>
    </w:p>
    <w:p>
      <w:r>
        <w:t>Freight, fuel surcharges, duty, pallet charges and similar accessorials may be paid ONLY where a corresponding line exists on the purchase order.</w:t>
      </w:r>
    </w:p>
    <w:p>
      <w:r>
        <w:t>Charges billed without a purchase order line must be raised as an exception and referred to the Buyer, regardless of amount. Where the purchase order is written FOB origin, freight is payable by Continental Goods only if separately ordered; where the purchase order is DAP, freight is included in the unit price and must not be billed separately.</w:t>
      </w:r>
    </w:p>
    <w:p/>
    <w:p>
      <w:pPr>
        <w:pStyle w:val="Heading1"/>
      </w:pPr>
      <w:r>
        <w:t>7. Duplicate invoices</w:t>
      </w:r>
    </w:p>
    <w:p>
      <w:r>
        <w:t>An invoice is treated as a suspected duplicate where ANY of the following is true against an invoice already received or posted: identical supplier invoice number for the same vendor; identical vendor, gross amount and invoice date; or identical purchase order reference and gross amount.</w:t>
      </w:r>
    </w:p>
    <w:p>
      <w:r>
        <w:t>Because invoices arrive on three channels, the duplicate check MUST be performed across all channels and against posted history, not within a single batch.</w:t>
      </w:r>
    </w:p>
    <w:p>
      <w:r>
        <w:t>A re-issued invoice following a credit note is NOT a duplicate. Where the original has been cancelled and evidence of the credit exists, the re-issue is processed normally. Staff must confirm the credit before releasing.</w:t>
      </w:r>
    </w:p>
    <w:p/>
    <w:p>
      <w:pPr>
        <w:pStyle w:val="Heading1"/>
      </w:pPr>
      <w:r>
        <w:t>8. Payment terms and discount capture</w:t>
      </w:r>
    </w:p>
    <w:p>
      <w:r>
        <w:t>Payment terms are taken from the vendor master record and confirmed against the purchase order header. Where a supplier document states terms that differ from the vendor master, the VENDOR MASTER PREVAILS and the discrepancy is referred to Procurement for correction.</w:t>
      </w:r>
    </w:p>
    <w:p>
      <w:r>
        <w:t>Early-settlement discounts may be deducted only where payment is made within the discount period counted from the INVOICE DATE. A discount deducted after the discount period has expired is an unearned discount and must be recovered from the supplier.</w:t>
      </w:r>
    </w:p>
    <w:p>
      <w:r>
        <w:t>The weekly payment proposal identifies invoices where a discount remains capturable and ranks them by value at risk.</w:t>
      </w:r>
    </w:p>
    <w:p/>
    <w:p>
      <w:pPr>
        <w:pStyle w:val="Heading1"/>
      </w:pPr>
      <w:r>
        <w:t>9. Invoices without a purchase order</w:t>
      </w:r>
    </w:p>
    <w:p>
      <w:r>
        <w:t>An invoice that references no purchase order, or references a purchase order that does not exist in CG01, must not be paid. It is raised as an exception and routed to the requisitioner named on the document, or to the Controller where no requisitioner can be identified.</w:t>
      </w:r>
    </w:p>
    <w:p>
      <w:r>
        <w:t>Under no circumstances may AP staff create a retrospective purchase order to clear an invoice.</w:t>
      </w:r>
    </w:p>
    <w:p/>
    <w:p>
      <w:pPr>
        <w:pStyle w:val="Heading1"/>
      </w:pPr>
      <w:r>
        <w:t>10. Vendor master and new suppliers</w:t>
      </w:r>
    </w:p>
    <w:p>
      <w:r>
        <w:t>Payment may only be made to a supplier holding an active vendor master record. An invoice from a party with no vendor master record must be rejected and referred to Vendor Onboarding; it must not be paid on a one-off basis.</w:t>
      </w:r>
    </w:p>
    <w:p>
      <w:r>
        <w:t>Tax identification and remittance details are captured during onboarding and are not accepted from an invoice document.</w:t>
      </w:r>
    </w:p>
    <w:p/>
    <w:p>
      <w:pPr>
        <w:pStyle w:val="Heading1"/>
      </w:pPr>
      <w:r>
        <w:t>11. Changes to remittance or bank details</w:t>
      </w:r>
    </w:p>
    <w:p>
      <w:r>
        <w:t>A REQUEST TO CHANGE BANK OR REMITTANCE DETAILS RECEIVED ON OR WITH AN INVOICE IS TREATED AS A SUSPECTED FRAUD ATTEMPT UNTIL PROVEN OTHERWISE.</w:t>
      </w:r>
    </w:p>
    <w:p>
      <w:r>
        <w:t>Such a request must never be actioned by Accounts Payable. It is escalated immediately to the Controller and to Treasury, and the supplier is verified OUT OF BAND using a telephone number already held in the vendor master — never a number, email address or link supplied on the document making the request.</w:t>
      </w:r>
    </w:p>
    <w:p>
      <w:r>
        <w:t>The invoice itself is held pending verification. Payment to the previously held bank details may continue only with Controller approval.</w:t>
      </w:r>
    </w:p>
    <w:p/>
    <w:p>
      <w:pPr>
        <w:pStyle w:val="Heading1"/>
      </w:pPr>
      <w:r>
        <w:t>12. Tax codes</w:t>
      </w:r>
    </w:p>
    <w:p>
      <w:r>
        <w:t>The tax code on the purchase order line governs the tax treatment of the invoice. Codes in use are V1 (zero rated), V2 (6.25%) and V3 (8.25%).</w:t>
      </w:r>
    </w:p>
    <w:p>
      <w:r>
        <w:t>Where the tax charged by the supplier does not agree with the tax code on the purchase order line, the invoice is raised as a tax exception and referred to the Tax team. AP staff must not adjust the tax to make the invoice balance.</w:t>
      </w:r>
    </w:p>
    <w:p/>
    <w:p>
      <w:pPr>
        <w:pStyle w:val="Heading1"/>
      </w:pPr>
      <w:r>
        <w:t>13. Approval thresholds</w:t>
      </w:r>
    </w:p>
    <w:p>
      <w:r>
        <w:t>Invoices clearing the three-way match within tolerance are released by AP without further approval. Exceptions require approval as follows: up to $5,000 by the AP Supervisor; $5,000 to $25,000 by the Controller; above $25,000 by the CFO.</w:t>
      </w:r>
    </w:p>
    <w:p>
      <w:r>
        <w:t>SYSTEM AND AUTOMATION RULE: an automated process may PREPARE, PROPOSE and RANK a payment run, and may raise exceptions and draft correspondence. It may NOT release a payment, post a document, or send correspondence to a supplier. A named human must approve every outbound action.</w:t>
      </w:r>
    </w:p>
    <w:p/>
    <w:p>
      <w:pPr>
        <w:pStyle w:val="Heading1"/>
      </w:pPr>
      <w:r>
        <w:t>14. Exception handling and escalation</w:t>
      </w:r>
    </w:p>
    <w:p>
      <w:r>
        <w:t>Every exception is recorded with: the invoice, the reason class, the calculated variance, the evidence relied upon, and the person it was routed to.</w:t>
      </w:r>
    </w:p>
    <w:p>
      <w:r>
        <w:t>Exceptions older than five business days are escalated to the AP Supervisor. Exceptions older than fifteen business days are reported to the Controller in the month-end pack.</w:t>
      </w:r>
    </w:p>
    <w:p>
      <w:r>
        <w:t>An exception may only be closed by the person it was routed to, or by the Controller. It may not be closed by the system that raised it.</w:t>
      </w:r>
    </w:p>
    <w:p/>
    <w:p>
      <w:pPr>
        <w:pStyle w:val="Heading1"/>
      </w:pPr>
      <w:r>
        <w:t>Appendix A — Tolerance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Tolerance</w:t>
            </w:r>
          </w:p>
        </w:tc>
        <w:tc>
          <w:tcPr>
            <w:tcW w:type="dxa" w:w="2880"/>
          </w:tcPr>
          <w:p>
            <w:r>
              <w:t>Action if outside</w:t>
            </w:r>
          </w:p>
        </w:tc>
      </w:tr>
      <w:tr>
        <w:tc>
          <w:tcPr>
            <w:tcW w:type="dxa" w:w="2880"/>
          </w:tcPr>
          <w:p>
            <w:r>
              <w:t>Invoice with no goods receipt, delivery date not yet passed</w:t>
            </w:r>
          </w:p>
        </w:tc>
        <w:tc>
          <w:tcPr>
            <w:tcW w:type="dxa" w:w="2880"/>
          </w:tcPr>
          <w:p>
            <w:r>
              <w:t>park — not an exception</w:t>
            </w:r>
          </w:p>
        </w:tc>
        <w:tc>
          <w:tcPr>
            <w:tcW w:type="dxa" w:w="2880"/>
          </w:tcPr>
          <w:p>
            <w:r>
              <w:t>Park, re-check each run</w:t>
            </w:r>
          </w:p>
        </w:tc>
      </w:tr>
      <w:tr>
        <w:tc>
          <w:tcPr>
            <w:tcW w:type="dxa" w:w="2880"/>
          </w:tcPr>
          <w:p>
            <w:r>
              <w:t>Invoice with no goods receipt, within 5 working days of the delivery date</w:t>
            </w:r>
          </w:p>
        </w:tc>
        <w:tc>
          <w:tcPr>
            <w:tcW w:type="dxa" w:w="2880"/>
          </w:tcPr>
          <w:p>
            <w:r>
              <w:t>park — not an exception</w:t>
            </w:r>
          </w:p>
        </w:tc>
        <w:tc>
          <w:tcPr>
            <w:tcW w:type="dxa" w:w="2880"/>
          </w:tcPr>
          <w:p>
            <w:r>
              <w:t>Park, chase Receiving</w:t>
            </w:r>
          </w:p>
        </w:tc>
      </w:tr>
      <w:tr>
        <w:tc>
          <w:tcPr>
            <w:tcW w:type="dxa" w:w="2880"/>
          </w:tcPr>
          <w:p>
            <w:r>
              <w:t>Invoice with no goods receipt, more than 5 working days past the delivery date</w:t>
            </w:r>
          </w:p>
        </w:tc>
        <w:tc>
          <w:tcPr>
            <w:tcW w:type="dxa" w:w="2880"/>
          </w:tcPr>
          <w:p>
            <w:r>
              <w:t>none — this is an exception</w:t>
            </w:r>
          </w:p>
        </w:tc>
        <w:tc>
          <w:tcPr>
            <w:tcW w:type="dxa" w:w="2880"/>
          </w:tcPr>
          <w:p>
            <w:r>
              <w:t>Exception → Buyer</w:t>
            </w:r>
          </w:p>
        </w:tc>
      </w:tr>
      <w:tr>
        <w:tc>
          <w:tcPr>
            <w:tcW w:type="dxa" w:w="2880"/>
          </w:tcPr>
          <w:p>
            <w:r>
              <w:t>Unit price vs PO</w:t>
            </w:r>
          </w:p>
        </w:tc>
        <w:tc>
          <w:tcPr>
            <w:tcW w:type="dxa" w:w="2880"/>
          </w:tcPr>
          <w:p>
            <w:r>
              <w:t>2% of line value or $50, whichever is greater</w:t>
            </w:r>
          </w:p>
        </w:tc>
        <w:tc>
          <w:tcPr>
            <w:tcW w:type="dxa" w:w="2880"/>
          </w:tcPr>
          <w:p>
            <w:r>
              <w:t>Price exception → Buyer</w:t>
            </w:r>
          </w:p>
        </w:tc>
      </w:tr>
      <w:tr>
        <w:tc>
          <w:tcPr>
            <w:tcW w:type="dxa" w:w="2880"/>
          </w:tcPr>
          <w:p>
            <w:r>
              <w:t>Invoiced qty vs goods receipt</w:t>
            </w:r>
          </w:p>
        </w:tc>
        <w:tc>
          <w:tcPr>
            <w:tcW w:type="dxa" w:w="2880"/>
          </w:tcPr>
          <w:p>
            <w:r>
              <w:t>2% of ordered quantity</w:t>
            </w:r>
          </w:p>
        </w:tc>
        <w:tc>
          <w:tcPr>
            <w:tcW w:type="dxa" w:w="2880"/>
          </w:tcPr>
          <w:p>
            <w:r>
              <w:t>Quantity exception → Receiving</w:t>
            </w:r>
          </w:p>
        </w:tc>
      </w:tr>
      <w:tr>
        <w:tc>
          <w:tcPr>
            <w:tcW w:type="dxa" w:w="2880"/>
          </w:tcPr>
          <w:p>
            <w:r>
              <w:t>Over-delivery beyond PO qty</w:t>
            </w:r>
          </w:p>
        </w:tc>
        <w:tc>
          <w:tcPr>
            <w:tcW w:type="dxa" w:w="2880"/>
          </w:tcPr>
          <w:p>
            <w:r>
              <w:t>none — Buyer approval always required</w:t>
            </w:r>
          </w:p>
        </w:tc>
        <w:tc>
          <w:tcPr>
            <w:tcW w:type="dxa" w:w="2880"/>
          </w:tcPr>
          <w:p>
            <w:r>
              <w:t>Hold → Buyer</w:t>
            </w:r>
          </w:p>
        </w:tc>
      </w:tr>
      <w:tr>
        <w:tc>
          <w:tcPr>
            <w:tcW w:type="dxa" w:w="2880"/>
          </w:tcPr>
          <w:p>
            <w:r>
              <w:t>Freight / accessorials</w:t>
            </w:r>
          </w:p>
        </w:tc>
        <w:tc>
          <w:tcPr>
            <w:tcW w:type="dxa" w:w="2880"/>
          </w:tcPr>
          <w:p>
            <w:r>
              <w:t>none — must be a PO line</w:t>
            </w:r>
          </w:p>
        </w:tc>
        <w:tc>
          <w:tcPr>
            <w:tcW w:type="dxa" w:w="2880"/>
          </w:tcPr>
          <w:p>
            <w:r>
              <w:t>Exception → Buyer</w:t>
            </w:r>
          </w:p>
        </w:tc>
      </w:tr>
      <w:tr>
        <w:tc>
          <w:tcPr>
            <w:tcW w:type="dxa" w:w="2880"/>
          </w:tcPr>
          <w:p>
            <w:r>
              <w:t>Tax vs PO tax code</w:t>
            </w:r>
          </w:p>
        </w:tc>
        <w:tc>
          <w:tcPr>
            <w:tcW w:type="dxa" w:w="2880"/>
          </w:tcPr>
          <w:p>
            <w:r>
              <w:t>none</w:t>
            </w:r>
          </w:p>
        </w:tc>
        <w:tc>
          <w:tcPr>
            <w:tcW w:type="dxa" w:w="2880"/>
          </w:tcPr>
          <w:p>
            <w:r>
              <w:t>Tax exception → Tax team</w:t>
            </w:r>
          </w:p>
        </w:tc>
      </w:tr>
      <w:tr>
        <w:tc>
          <w:tcPr>
            <w:tcW w:type="dxa" w:w="2880"/>
          </w:tcPr>
          <w:p>
            <w:r>
              <w:t>Duplicate</w:t>
            </w:r>
          </w:p>
        </w:tc>
        <w:tc>
          <w:tcPr>
            <w:tcW w:type="dxa" w:w="2880"/>
          </w:tcPr>
          <w:p>
            <w:r>
              <w:t>none — checked across all channels and history</w:t>
            </w:r>
          </w:p>
        </w:tc>
        <w:tc>
          <w:tcPr>
            <w:tcW w:type="dxa" w:w="2880"/>
          </w:tcPr>
          <w:p>
            <w:r>
              <w:t>Hold → AP Supervisor</w:t>
            </w:r>
          </w:p>
        </w:tc>
      </w:tr>
      <w:tr>
        <w:tc>
          <w:tcPr>
            <w:tcW w:type="dxa" w:w="2880"/>
          </w:tcPr>
          <w:p>
            <w:r>
              <w:t>Bank detail change</w:t>
            </w:r>
          </w:p>
        </w:tc>
        <w:tc>
          <w:tcPr>
            <w:tcW w:type="dxa" w:w="2880"/>
          </w:tcPr>
          <w:p>
            <w:r>
              <w:t>none — never actioned by AP</w:t>
            </w:r>
          </w:p>
        </w:tc>
        <w:tc>
          <w:tcPr>
            <w:tcW w:type="dxa" w:w="2880"/>
          </w:tcPr>
          <w:p>
            <w:r>
              <w:t>Escalate → Controller &amp; Treasury</w:t>
            </w:r>
          </w:p>
        </w:tc>
      </w:tr>
    </w:tbl>
    <w:p/>
    <w:p>
      <w:pPr>
        <w:pStyle w:val="Heading1"/>
      </w:pPr>
      <w:r>
        <w:t>Appendix B — Payment terms in use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Key</w:t>
            </w:r>
          </w:p>
        </w:tc>
        <w:tc>
          <w:tcPr>
            <w:tcW w:type="dxa" w:w="2880"/>
          </w:tcPr>
          <w:p>
            <w:r>
              <w:t>Description</w:t>
            </w:r>
          </w:p>
        </w:tc>
        <w:tc>
          <w:tcPr>
            <w:tcW w:type="dxa" w:w="2880"/>
          </w:tcPr>
          <w:p>
            <w:r>
              <w:t>Discount window</w:t>
            </w:r>
          </w:p>
        </w:tc>
      </w:tr>
      <w:tr>
        <w:tc>
          <w:tcPr>
            <w:tcW w:type="dxa" w:w="2880"/>
          </w:tcPr>
          <w:p>
            <w:r>
              <w:t>2T10</w:t>
            </w:r>
          </w:p>
        </w:tc>
        <w:tc>
          <w:tcPr>
            <w:tcW w:type="dxa" w:w="2880"/>
          </w:tcPr>
          <w:p>
            <w:r>
              <w:t>2% 10 days, net 30</w:t>
            </w:r>
          </w:p>
        </w:tc>
        <w:tc>
          <w:tcPr>
            <w:tcW w:type="dxa" w:w="2880"/>
          </w:tcPr>
          <w:p>
            <w:r>
              <w:t>2.00% within 10 days</w:t>
            </w:r>
          </w:p>
        </w:tc>
      </w:tr>
      <w:tr>
        <w:tc>
          <w:tcPr>
            <w:tcW w:type="dxa" w:w="2880"/>
          </w:tcPr>
          <w:p>
            <w:r>
              <w:t>NT30</w:t>
            </w:r>
          </w:p>
        </w:tc>
        <w:tc>
          <w:tcPr>
            <w:tcW w:type="dxa" w:w="2880"/>
          </w:tcPr>
          <w:p>
            <w:r>
              <w:t>Net 30 days</w:t>
            </w:r>
          </w:p>
        </w:tc>
        <w:tc>
          <w:tcPr>
            <w:tcW w:type="dxa" w:w="2880"/>
          </w:tcPr>
          <w:p>
            <w:r>
              <w:t>no discount</w:t>
            </w:r>
          </w:p>
        </w:tc>
      </w:tr>
      <w:tr>
        <w:tc>
          <w:tcPr>
            <w:tcW w:type="dxa" w:w="2880"/>
          </w:tcPr>
          <w:p>
            <w:r>
              <w:t>NT45</w:t>
            </w:r>
          </w:p>
        </w:tc>
        <w:tc>
          <w:tcPr>
            <w:tcW w:type="dxa" w:w="2880"/>
          </w:tcPr>
          <w:p>
            <w:r>
              <w:t>Net 45 days</w:t>
            </w:r>
          </w:p>
        </w:tc>
        <w:tc>
          <w:tcPr>
            <w:tcW w:type="dxa" w:w="2880"/>
          </w:tcPr>
          <w:p>
            <w:r>
              <w:t>no discount</w:t>
            </w:r>
          </w:p>
        </w:tc>
      </w:tr>
      <w:tr>
        <w:tc>
          <w:tcPr>
            <w:tcW w:type="dxa" w:w="2880"/>
          </w:tcPr>
          <w:p>
            <w:r>
              <w:t>2T15</w:t>
            </w:r>
          </w:p>
        </w:tc>
        <w:tc>
          <w:tcPr>
            <w:tcW w:type="dxa" w:w="2880"/>
          </w:tcPr>
          <w:p>
            <w:r>
              <w:t>2% 15 days, net 45</w:t>
            </w:r>
          </w:p>
        </w:tc>
        <w:tc>
          <w:tcPr>
            <w:tcW w:type="dxa" w:w="2880"/>
          </w:tcPr>
          <w:p>
            <w:r>
              <w:t>2.00% within 15 days</w:t>
            </w:r>
          </w:p>
        </w:tc>
      </w:tr>
      <w:tr>
        <w:tc>
          <w:tcPr>
            <w:tcW w:type="dxa" w:w="2880"/>
          </w:tcPr>
          <w:p>
            <w:r>
              <w:t>1T10</w:t>
            </w:r>
          </w:p>
        </w:tc>
        <w:tc>
          <w:tcPr>
            <w:tcW w:type="dxa" w:w="2880"/>
          </w:tcPr>
          <w:p>
            <w:r>
              <w:t>1% 10 days, net 30</w:t>
            </w:r>
          </w:p>
        </w:tc>
        <w:tc>
          <w:tcPr>
            <w:tcW w:type="dxa" w:w="2880"/>
          </w:tcPr>
          <w:p>
            <w:r>
              <w:t>1.00% within 10 days</w:t>
            </w:r>
          </w:p>
        </w:tc>
      </w:tr>
      <w:tr>
        <w:tc>
          <w:tcPr>
            <w:tcW w:type="dxa" w:w="2880"/>
          </w:tcPr>
          <w:p>
            <w:r>
              <w:t>NT60</w:t>
            </w:r>
          </w:p>
        </w:tc>
        <w:tc>
          <w:tcPr>
            <w:tcW w:type="dxa" w:w="2880"/>
          </w:tcPr>
          <w:p>
            <w:r>
              <w:t>Net 60 days</w:t>
            </w:r>
          </w:p>
        </w:tc>
        <w:tc>
          <w:tcPr>
            <w:tcW w:type="dxa" w:w="2880"/>
          </w:tcPr>
          <w:p>
            <w:r>
              <w:t>no discount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