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Planning</w:t>
      </w:r>
    </w:p>
    <w:p>
      <w:pPr>
        <w:pStyle w:val="Heading2"/>
      </w:pPr>
      <w:r>
        <w:t>Summary</w:t>
      </w:r>
    </w:p>
    <w:p>
      <w:r>
        <w:t>Q3 priorities should focus on driving revenue growth, improving operational efficiency, and strengthening customer retention through targeted initiatives and clear cross-functional execution.</w:t>
      </w:r>
    </w:p>
    <w:p>
      <w:pPr>
        <w:pStyle w:val="Heading2"/>
      </w:pPr>
      <w:r>
        <w:t>Recommendations</w:t>
      </w:r>
    </w:p>
    <w:p>
      <w:r>
        <w:t>• Prioritize the highest-impact projects and align resources to the initiatives most likely to improve Q3 business outcomes.</w:t>
      </w:r>
    </w:p>
    <w:p>
      <w:r>
        <w:t>• Establish clear milestones, owners, and weekly check-ins to keep execution on track and address blockers quickly.</w:t>
      </w:r>
    </w:p>
    <w:p>
      <w:r>
        <w:t>• Use customer and performance data to refine plans continuously and adjust tactics based on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