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FY2026 Strategic Brief</w:t>
      </w:r>
    </w:p>
    <w:p>
      <w:pPr>
        <w:pStyle w:val="Heading2"/>
      </w:pPr>
      <w:r>
        <w:t>Executive Summary</w:t>
      </w:r>
    </w:p>
    <w:p>
      <w:r>
        <w:t>FY2026 presents an opportunity to align strategic priorities, strengthen operational focus, and accelerate measurable business outcomes across key initiatives.</w:t>
      </w:r>
    </w:p>
    <w:p>
      <w:pPr>
        <w:pStyle w:val="Heading2"/>
      </w:pPr>
      <w:r>
        <w:t>Key Findings</w:t>
      </w:r>
    </w:p>
    <w:p>
      <w:r>
        <w:t>Current trends indicate strong potential for growth where teams concentrate on high-impact programs, improve cross-functional coordination, and track performance consistently.</w:t>
      </w:r>
    </w:p>
    <w:p>
      <w:pPr>
        <w:pStyle w:val="Heading2"/>
      </w:pPr>
      <w:r>
        <w:t>Recommendations</w:t>
      </w:r>
    </w:p>
    <w:p>
      <w:r>
        <w:t>Prioritize the most value-driving initiatives, reinforce accountability through clear metrics, and invest in capabilities that support sustainable execution throughout the fiscal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