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</w:t>
      </w:r>
    </w:p>
    <w:p>
      <w:pPr>
        <w:pStyle w:val="Heading2"/>
      </w:pPr>
      <w:r>
        <w:t>Financials</w:t>
      </w:r>
    </w:p>
    <w:p>
      <w:pPr>
        <w:pStyle w:val="Heading3"/>
      </w:pPr>
      <w:r>
        <w:t>Revenue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</w:tbl>
    <w:p>
      <w:pPr>
        <w:pStyle w:val="Heading3"/>
      </w:pPr>
      <w:r>
        <w:t>Expenses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Salaries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