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FY2026 Strategic Brief</w:t>
      </w:r>
    </w:p>
    <w:p>
      <w:pPr>
        <w:pStyle w:val="Heading2"/>
      </w:pPr>
      <w:r>
        <w:t>Executive Summary</w:t>
      </w:r>
    </w:p>
    <w:p>
      <w:r>
        <w:t>FY2026 presents an opportunity to sharpen strategic focus, improve execution, and align resources with the organization’s highest-priority goals.</w:t>
      </w:r>
    </w:p>
    <w:p>
      <w:pPr>
        <w:pStyle w:val="Heading2"/>
      </w:pPr>
      <w:r>
        <w:t>Key Findings</w:t>
      </w:r>
    </w:p>
    <w:p>
      <w:r>
        <w:t>Current trends indicate strong potential for growth where operational efficiency, customer value, and cross-functional coordination are strengthened together.</w:t>
      </w:r>
    </w:p>
    <w:p>
      <w:pPr>
        <w:pStyle w:val="Heading2"/>
      </w:pPr>
      <w:r>
        <w:t>Recommendations</w:t>
      </w:r>
    </w:p>
    <w:p>
      <w:r>
        <w:t>Prioritize a small set of measurable initiatives, monitor progress consistently, and adjust plans quickly based on performance data and emerging risks.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