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Planning</w:t>
      </w:r>
    </w:p>
    <w:p>
      <w:pPr>
        <w:pStyle w:val="Heading2"/>
      </w:pPr>
      <w:r>
        <w:t>Summary</w:t>
      </w:r>
    </w:p>
    <w:p>
      <w:r>
        <w:t>Q3 priorities should focus on driving revenue growth, improving operational efficiency, and advancing the highest-impact strategic initiatives across the business.</w:t>
      </w:r>
    </w:p>
    <w:p>
      <w:pPr>
        <w:pStyle w:val="Heading2"/>
      </w:pPr>
      <w:r>
        <w:t>Recommendations</w:t>
      </w:r>
    </w:p>
    <w:p>
      <w:r>
        <w:t>• Prioritize projects with the strongest expected business impact and clear measurable outcomes.</w:t>
      </w:r>
    </w:p>
    <w:p>
      <w:r>
        <w:t>• Align team resources early to reduce bottlenecks and maintain execution speed throughout the quarter.</w:t>
      </w:r>
    </w:p>
    <w:p>
      <w:r>
        <w:t>• Review progress regularly and adjust plans quickly based on performance data and changing business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