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Regional Performance</w:t>
      </w:r>
    </w:p>
    <w:p>
      <w:pPr>
        <w:pStyle w:val="Heading2"/>
      </w:pPr>
      <w:r>
        <w:t>Executive Summary</w:t>
      </w:r>
    </w:p>
    <w:p>
      <w:r>
        <w:t>Q3 delivered solid regional performance overall, led by strong growth in the West and steady gains across all other regions.</w:t>
      </w:r>
    </w:p>
    <w:p>
      <w:pPr>
        <w:pStyle w:val="Heading2"/>
      </w:pPr>
      <w:r>
        <w:t>Results by Region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YoY%</w:t>
            </w:r>
          </w:p>
        </w:tc>
      </w:tr>
      <w:tr>
        <w:tc>
          <w:tcPr>
            <w:tcW w:type="dxa" w:w="2880"/>
          </w:tcPr>
          <w:p>
            <w:r>
              <w:t>West</w:t>
            </w:r>
          </w:p>
        </w:tc>
        <w:tc>
          <w:tcPr>
            <w:tcW w:type="dxa" w:w="2880"/>
          </w:tcPr>
          <w:p>
            <w:r>
              <w:t>2.87M</w:t>
            </w:r>
          </w:p>
        </w:tc>
        <w:tc>
          <w:tcPr>
            <w:tcW w:type="dxa" w:w="2880"/>
          </w:tcPr>
          <w:p>
            <w:r>
              <w:t>12%</w:t>
            </w:r>
          </w:p>
        </w:tc>
      </w:tr>
      <w:tr>
        <w:tc>
          <w:tcPr>
            <w:tcW w:type="dxa" w:w="2880"/>
          </w:tcPr>
          <w:p>
            <w:r>
              <w:t>East</w:t>
            </w:r>
          </w:p>
        </w:tc>
        <w:tc>
          <w:tcPr>
            <w:tcW w:type="dxa" w:w="2880"/>
          </w:tcPr>
          <w:p>
            <w:r>
              <w:t>2.43M</w:t>
            </w:r>
          </w:p>
        </w:tc>
        <w:tc>
          <w:tcPr>
            <w:tcW w:type="dxa" w:w="2880"/>
          </w:tcPr>
          <w:p>
            <w:r>
              <w:t>8%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2.10M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2.08M</w:t>
            </w:r>
          </w:p>
        </w:tc>
        <w:tc>
          <w:tcPr>
            <w:tcW w:type="dxa" w:w="2880"/>
          </w:tcPr>
          <w:p>
            <w:r>
              <w:t>3%</w:t>
            </w:r>
          </w:p>
        </w:tc>
      </w:tr>
    </w:tbl>
    <w:p>
      <w:pPr>
        <w:pStyle w:val="Heading2"/>
      </w:pPr>
      <w:r>
        <w:t>Recommendations</w:t>
      </w:r>
    </w:p>
    <w:p>
      <w:r>
        <w:t>• Prioritize additional investment in high-growth western markets to sustain momentum.</w:t>
      </w:r>
    </w:p>
    <w:p>
      <w:r>
        <w:t>• Expand targeted sales and marketing efforts in the East to accelerate mid-tier growth.</w:t>
      </w:r>
    </w:p>
    <w:p>
      <w:r>
        <w:t>• Improve operational efficiency in North and South regions to support margin expansion.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