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Planning</w:t>
      </w:r>
    </w:p>
    <w:p>
      <w:pPr>
        <w:pStyle w:val="Heading2"/>
      </w:pPr>
      <w:r>
        <w:t>Summary</w:t>
      </w:r>
    </w:p>
    <w:p>
      <w:r>
        <w:t>Q3 priorities should focus on driving revenue growth, improving operational efficiency, and strengthening customer retention through targeted initiatives and clear execution plans.</w:t>
      </w:r>
    </w:p>
    <w:p>
      <w:pPr>
        <w:pStyle w:val="Heading2"/>
      </w:pPr>
      <w:r>
        <w:t>Recommendations</w:t>
      </w:r>
    </w:p>
    <w:p>
      <w:r>
        <w:t>• Prioritize the highest-impact projects that align directly with revenue and customer goals.</w:t>
      </w:r>
    </w:p>
    <w:p>
      <w:r>
        <w:t>• Improve cross-functional coordination with clear owners, timelines, and success metrics.</w:t>
      </w:r>
    </w:p>
    <w:p>
      <w:r>
        <w:t>• Track progress through regular reviews and adjust plans quickly based on performance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