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Regional Performance</w:t>
      </w:r>
    </w:p>
    <w:p>
      <w:pPr>
        <w:pStyle w:val="Heading2"/>
      </w:pPr>
      <w:r>
        <w:t>Executive Summary</w:t>
      </w:r>
    </w:p>
    <w:p>
      <w:r>
        <w:t>Q3 delivered steady regional growth, with the West leading performance and all regions posting positive year-over-year gains.</w:t>
      </w:r>
    </w:p>
    <w:p>
      <w:pPr>
        <w:pStyle w:val="Heading2"/>
      </w:pPr>
      <w:r>
        <w:t>Results 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YoY%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2.87M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2.43M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2.10M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2.08M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</w:tbl>
    <w:p>
      <w:pPr>
        <w:pStyle w:val="Heading2"/>
      </w:pPr>
      <w:r>
        <w:t>Recommendations</w:t>
      </w:r>
    </w:p>
    <w:p>
      <w:r>
        <w:t>• Increase investment in West region programs that are delivering the strongest returns.</w:t>
      </w:r>
    </w:p>
    <w:p>
      <w:r>
        <w:t>• Replicate high-performing sales tactics from West and East across North and South.</w:t>
      </w:r>
    </w:p>
    <w:p>
      <w:r>
        <w:t>• Focus on targeted growth initiatives in lower-growth regions to improve year-over-year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