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Q3 Planning</w:t>
      </w:r>
    </w:p>
    <w:p>
      <w:pPr>
        <w:pStyle w:val="Heading2"/>
      </w:pPr>
      <w:r>
        <w:t>Summary</w:t>
      </w:r>
    </w:p>
    <w:p>
      <w:r>
        <w:t>Q3 priorities should focus on executing high-impact initiatives, improving cross-functional alignment, and tracking progress against measurable business goals to ensure the team delivers meaningful results during the quarter.</w:t>
      </w:r>
    </w:p>
    <w:p>
      <w:pPr>
        <w:pStyle w:val="Heading2"/>
      </w:pPr>
      <w:r>
        <w:t>Recommendations</w:t>
      </w:r>
    </w:p>
    <w:p>
      <w:r>
        <w:t>• Prioritize projects with the strongest expected impact on revenue, customer satisfaction, or operational efficiency.</w:t>
      </w:r>
    </w:p>
    <w:p>
      <w:r>
        <w:t>• Establish clear owners, milestones, and weekly check-ins to keep execution on schedule.</w:t>
      </w:r>
    </w:p>
    <w:p>
      <w:r>
        <w:t>• Review performance metrics regularly and adjust plans quickly when risks or new opportunities emerge.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