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FY2026 Strategic Brief</w:t>
      </w:r>
    </w:p>
    <w:p>
      <w:pPr>
        <w:pStyle w:val="Heading2"/>
      </w:pPr>
      <w:r>
        <w:t>Executive Summary</w:t>
      </w:r>
    </w:p>
    <w:p>
      <w:r>
        <w:t>FY2026 will focus on disciplined growth, operational resilience, and targeted investment in the highest-impact strategic priorities.</w:t>
      </w:r>
    </w:p>
    <w:p>
      <w:pPr>
        <w:pStyle w:val="Heading2"/>
      </w:pPr>
      <w:r>
        <w:t>Key Findings</w:t>
      </w:r>
    </w:p>
    <w:p>
      <w:r>
        <w:t>Current performance trends suggest strong opportunities in core markets, alongside a need to improve efficiency, risk visibility, and cross-functional execution.</w:t>
      </w:r>
    </w:p>
    <w:p>
      <w:pPr>
        <w:pStyle w:val="Heading2"/>
      </w:pPr>
      <w:r>
        <w:t>Recommendations</w:t>
      </w:r>
    </w:p>
    <w:p>
      <w:r>
        <w:t>Prioritize resource allocation toward scalable initiatives, strengthen performance tracking, and align leadership teams around a clear execution roadmap for FY2026.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