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FY2026 Strategic Brief</w:t>
      </w:r>
    </w:p>
    <w:p>
      <w:pPr>
        <w:pStyle w:val="Heading2"/>
      </w:pPr>
      <w:r>
        <w:t>Executive Summary</w:t>
      </w:r>
    </w:p>
    <w:p>
      <w:r>
        <w:t>FY2026 presents an opportunity to strengthen operational focus, accelerate priority initiatives, and align resources with the organization’s highest-impact goals.</w:t>
      </w:r>
    </w:p>
    <w:p>
      <w:pPr>
        <w:pStyle w:val="Heading2"/>
      </w:pPr>
      <w:r>
        <w:t>Key Findings</w:t>
      </w:r>
    </w:p>
    <w:p>
      <w:r>
        <w:t>Current performance trends indicate solid momentum in core areas, with the greatest gains likely to come from improved cross-functional coordination and targeted investment.</w:t>
      </w:r>
    </w:p>
    <w:p>
      <w:pPr>
        <w:pStyle w:val="Heading2"/>
      </w:pPr>
      <w:r>
        <w:t>Recommendations</w:t>
      </w:r>
    </w:p>
    <w:p>
      <w:r>
        <w:t>Prioritize the most strategic programs, clarify ownership across teams, and establish measurable milestones to support consistent execution throughout FY2026.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