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Planning</w:t>
      </w:r>
    </w:p>
    <w:p>
      <w:pPr>
        <w:pStyle w:val="Heading2"/>
      </w:pPr>
      <w:r>
        <w:t>Summary</w:t>
      </w:r>
    </w:p>
    <w:p>
      <w:r>
        <w:t>Q3 priorities should focus on accelerating high-impact initiatives, improving cross-functional execution, and tracking measurable outcomes against strategic goals.</w:t>
      </w:r>
    </w:p>
    <w:p>
      <w:pPr>
        <w:pStyle w:val="Heading2"/>
      </w:pPr>
      <w:r>
        <w:t>Recommendations</w:t>
      </w:r>
    </w:p>
    <w:p>
      <w:r>
        <w:t>• Prioritize the top initiatives that have the strongest expected impact on revenue, customer experience, or operational efficiency.</w:t>
      </w:r>
    </w:p>
    <w:p>
      <w:r>
        <w:t>• Establish clear owners, milestones, and weekly progress reviews to keep Q3 execution on track.</w:t>
      </w:r>
    </w:p>
    <w:p>
      <w:r>
        <w:t>• Monitor key performance indicators throughout the quarter and adjust plans quickly based on results and emerging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