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FY2026 Strategic Brief</w:t>
      </w:r>
    </w:p>
    <w:p>
      <w:pPr>
        <w:pStyle w:val="Heading2"/>
      </w:pPr>
      <w:r>
        <w:t>Executive Summary</w:t>
      </w:r>
    </w:p>
    <w:p>
      <w:r>
        <w:t>FY2026 priorities center on focused growth, operational discipline, and investment in high-impact initiatives.</w:t>
      </w:r>
    </w:p>
    <w:p>
      <w:pPr>
        <w:pStyle w:val="Heading2"/>
      </w:pPr>
      <w:r>
        <w:t>Key Findings</w:t>
      </w:r>
    </w:p>
    <w:p>
      <w:r>
        <w:t>Current performance trends indicate strong opportunities in core markets alongside the need to improve efficiency and execution consistency.</w:t>
      </w:r>
    </w:p>
    <w:p>
      <w:pPr>
        <w:pStyle w:val="Heading2"/>
      </w:pPr>
      <w:r>
        <w:t>Recommendations</w:t>
      </w:r>
    </w:p>
    <w:p>
      <w:r>
        <w:t>Prioritize strategic investments, streamline cross-functional processes, and track a small set of measurable outcomes throughout the fiscal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