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 Returns Processing</w:t>
      </w:r>
    </w:p>
    <w:p>
      <w:r>
        <w:rPr>
          <w:b/>
        </w:rPr>
        <w:t xml:space="preserve">Document ID: </w:t>
      </w:r>
      <w:r>
        <w:t xml:space="preserve">OPS-SOP-014    </w:t>
      </w:r>
      <w:r>
        <w:rPr>
          <w:b/>
        </w:rPr>
        <w:t xml:space="preserve">Owner: </w:t>
      </w:r>
      <w:r>
        <w:t xml:space="preserve">Director of Fulfillment, Casey Ruiz    </w:t>
      </w:r>
      <w:r>
        <w:rPr>
          <w:b/>
        </w:rPr>
        <w:t xml:space="preserve">Revision: </w:t>
      </w:r>
      <w:r>
        <w:t xml:space="preserve">4.2   </w:t>
      </w:r>
      <w:r>
        <w:rPr>
          <w:b/>
        </w:rPr>
        <w:t xml:space="preserve">Effective: </w:t>
      </w:r>
      <w:r>
        <w:t>1 October 2025</w:t>
      </w:r>
    </w:p>
    <w:p>
      <w:pPr>
        <w:pStyle w:val="Heading1"/>
      </w:pPr>
      <w:r>
        <w:t>1. Purpose</w:t>
      </w:r>
    </w:p>
    <w:p>
      <w:r>
        <w:t>This SOP defines the end-to-end process for accepting, inspecting, and refunding returned merchandise across the Ecommerce, Retail, and Wholesale channels. The objective is consistent customer experience and accurate financial reconciliation between channels.</w:t>
      </w:r>
    </w:p>
    <w:p>
      <w:pPr>
        <w:pStyle w:val="Heading1"/>
      </w:pPr>
      <w:r>
        <w:t>2. Return Windows by Channel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Channel</w:t>
            </w:r>
          </w:p>
        </w:tc>
        <w:tc>
          <w:tcPr>
            <w:tcW w:type="dxa" w:w="2160"/>
          </w:tcPr>
          <w:p>
            <w:r>
              <w:rPr>
                <w:b/>
              </w:rPr>
              <w:t>Window</w:t>
            </w:r>
          </w:p>
        </w:tc>
        <w:tc>
          <w:tcPr>
            <w:tcW w:type="dxa" w:w="2160"/>
          </w:tcPr>
          <w:p>
            <w:r>
              <w:rPr>
                <w:b/>
              </w:rPr>
              <w:t>Condition</w:t>
            </w:r>
          </w:p>
        </w:tc>
        <w:tc>
          <w:tcPr>
            <w:tcW w:type="dxa" w:w="2160"/>
          </w:tcPr>
          <w:p>
            <w:r>
              <w:rPr>
                <w:b/>
              </w:rPr>
              <w:t>Restocking fee</w:t>
            </w:r>
          </w:p>
        </w:tc>
      </w:tr>
      <w:tr>
        <w:tc>
          <w:tcPr>
            <w:tcW w:type="dxa" w:w="2160"/>
          </w:tcPr>
          <w:p>
            <w:r>
              <w:t>Ecommerce (D2C)</w:t>
            </w:r>
          </w:p>
        </w:tc>
        <w:tc>
          <w:tcPr>
            <w:tcW w:type="dxa" w:w="2160"/>
          </w:tcPr>
          <w:p>
            <w:r>
              <w:t>60 days from delivery date</w:t>
            </w:r>
          </w:p>
        </w:tc>
        <w:tc>
          <w:tcPr>
            <w:tcW w:type="dxa" w:w="2160"/>
          </w:tcPr>
          <w:p>
            <w:r>
              <w:t>Unworn, original packaging</w:t>
            </w:r>
          </w:p>
        </w:tc>
        <w:tc>
          <w:tcPr>
            <w:tcW w:type="dxa" w:w="2160"/>
          </w:tcPr>
          <w:p>
            <w:r>
              <w:t>None</w:t>
            </w:r>
          </w:p>
        </w:tc>
      </w:tr>
      <w:tr>
        <w:tc>
          <w:tcPr>
            <w:tcW w:type="dxa" w:w="2160"/>
          </w:tcPr>
          <w:p>
            <w:r>
              <w:t>Retail (in-store)</w:t>
            </w:r>
          </w:p>
        </w:tc>
        <w:tc>
          <w:tcPr>
            <w:tcW w:type="dxa" w:w="2160"/>
          </w:tcPr>
          <w:p>
            <w:r>
              <w:t>30 days from purchase</w:t>
            </w:r>
          </w:p>
        </w:tc>
        <w:tc>
          <w:tcPr>
            <w:tcW w:type="dxa" w:w="2160"/>
          </w:tcPr>
          <w:p>
            <w:r>
              <w:t>Receipt or order lookup</w:t>
            </w:r>
          </w:p>
        </w:tc>
        <w:tc>
          <w:tcPr>
            <w:tcW w:type="dxa" w:w="2160"/>
          </w:tcPr>
          <w:p>
            <w:r>
              <w:t>None</w:t>
            </w:r>
          </w:p>
        </w:tc>
      </w:tr>
      <w:tr>
        <w:tc>
          <w:tcPr>
            <w:tcW w:type="dxa" w:w="2160"/>
          </w:tcPr>
          <w:p>
            <w:r>
              <w:t>Wholesale (B2B)</w:t>
            </w:r>
          </w:p>
        </w:tc>
        <w:tc>
          <w:tcPr>
            <w:tcW w:type="dxa" w:w="2160"/>
          </w:tcPr>
          <w:p>
            <w:r>
              <w:t>45 days from invoice</w:t>
            </w:r>
          </w:p>
        </w:tc>
        <w:tc>
          <w:tcPr>
            <w:tcW w:type="dxa" w:w="2160"/>
          </w:tcPr>
          <w:p>
            <w:r>
              <w:t>Authorized RMA only</w:t>
            </w:r>
          </w:p>
        </w:tc>
        <w:tc>
          <w:tcPr>
            <w:tcW w:type="dxa" w:w="2160"/>
          </w:tcPr>
          <w:p>
            <w:r>
              <w:t>15% on non-defective</w:t>
            </w:r>
          </w:p>
        </w:tc>
      </w:tr>
      <w:tr>
        <w:tc>
          <w:tcPr>
            <w:tcW w:type="dxa" w:w="2160"/>
          </w:tcPr>
          <w:p>
            <w:r>
              <w:t>Marketplace (Amazon)</w:t>
            </w:r>
          </w:p>
        </w:tc>
        <w:tc>
          <w:tcPr>
            <w:tcW w:type="dxa" w:w="2160"/>
          </w:tcPr>
          <w:p>
            <w:r>
              <w:t>30 days, per marketplace policy</w:t>
            </w:r>
          </w:p>
        </w:tc>
        <w:tc>
          <w:tcPr>
            <w:tcW w:type="dxa" w:w="2160"/>
          </w:tcPr>
          <w:p>
            <w:r>
              <w:t>Per platform</w:t>
            </w:r>
          </w:p>
        </w:tc>
        <w:tc>
          <w:tcPr>
            <w:tcW w:type="dxa" w:w="2160"/>
          </w:tcPr>
          <w:p>
            <w:r>
              <w:t>Per platform</w:t>
            </w:r>
          </w:p>
        </w:tc>
      </w:tr>
    </w:tbl>
    <w:p>
      <w:pPr>
        <w:pStyle w:val="Heading1"/>
      </w:pPr>
      <w:r>
        <w:t>3. The RMA Process</w:t>
      </w:r>
    </w:p>
    <w:p>
      <w:r>
        <w:t>All returns must be initiated via the RMA portal at rma.northwind.example before goods are shipped to the DC. The portal issues a Return Authorization Number (RA#) and a prepaid label for Ecommerce returns under 10 lb. Customers without a portal account may initiate via Customer Service at 1-800-555-0140.</w:t>
      </w:r>
    </w:p>
    <w:p>
      <w:pPr/>
      <w:r>
        <w:t>RMA workflow:</w:t>
      </w:r>
    </w:p>
    <w:p>
      <w:pPr>
        <w:pStyle w:val="ListNumber"/>
      </w:pPr>
      <w:r>
        <w:t>Customer submits return reason and order ID; system validates window.</w:t>
      </w:r>
    </w:p>
    <w:p>
      <w:pPr>
        <w:pStyle w:val="ListNumber"/>
      </w:pPr>
      <w:r>
        <w:t>RA# is issued; prepaid label generated and emailed.</w:t>
      </w:r>
    </w:p>
    <w:p>
      <w:pPr>
        <w:pStyle w:val="ListNumber"/>
      </w:pPr>
      <w:r>
        <w:t>Customer ships to: Northwind Returns, 4200 Industrial Dr, Reno NV 89501.</w:t>
      </w:r>
    </w:p>
    <w:p>
      <w:pPr>
        <w:pStyle w:val="ListNumber"/>
      </w:pPr>
      <w:r>
        <w:t>Receiving scans RA#; goods are inspected within 48 hours of receipt.</w:t>
      </w:r>
    </w:p>
    <w:p>
      <w:pPr>
        <w:pStyle w:val="ListNumber"/>
      </w:pPr>
      <w:r>
        <w:t>Inspection outcome posted to ERP; refund or credit issued.</w:t>
      </w:r>
    </w:p>
    <w:p>
      <w:pPr>
        <w:pStyle w:val="Heading1"/>
      </w:pPr>
      <w:r>
        <w:t>4. Refund Timing</w:t>
      </w:r>
    </w:p>
    <w:p>
      <w:r>
        <w:t>Refunds for Ecommerce returns are issued to the original payment method within 5–7 business days of inspection. Wholesale returns are issued as account credit within 10 business days. Disputes must be raised within 30 days of refund.</w:t>
      </w:r>
    </w:p>
    <w:p>
      <w:pPr>
        <w:pStyle w:val="Heading1"/>
      </w:pPr>
      <w:r>
        <w:t>5. Damaged or Defective Goods</w:t>
      </w:r>
    </w:p>
    <w:p>
      <w:r>
        <w:t>Defective items are routed to the Quality team for root-cause review. Customers receive a full refund regardless of channel and are not required to return the item if the unit cost is below $20. Suspected warranty claims are escalated to Manufacturing.</w:t>
      </w:r>
    </w:p>
    <w:p>
      <w:pPr>
        <w:pStyle w:val="Heading1"/>
      </w:pPr>
      <w:r>
        <w:t>6. Exceptions and Escalation</w:t>
      </w:r>
    </w:p>
    <w:p>
      <w:r>
        <w:t>Returns outside the published window may be accepted at the discretion of the Customer Service Lead up to 15 days past the window for Ecommerce; beyond that requires approval from the Director of Fulfillment. Hazardous materials (camp stove fuel) are non-returnable. Discontinued SKUs (those flagged in the inventory system as APR-9XXX, etc.) are returnable only within the original window.</w:t>
      </w:r>
    </w:p>
    <w:p>
      <w:pPr>
        <w:pStyle w:val="Heading1"/>
      </w:pPr>
      <w:r>
        <w:t>7. KPI Targets</w:t>
      </w:r>
    </w:p>
    <w:p>
      <w:r>
        <w:t>Inspection-to-refund cycle: ≤ 7 business days (current trailing 90-day average: 6.1 days). Returns abandonment (RA# issued, no goods received within 21 days): ≤ 8% (current: 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