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Capacity &amp; Replenishment Planning Policy</w:t>
      </w:r>
    </w:p>
    <w:p>
      <w:r>
        <w:rPr>
          <w:b/>
        </w:rPr>
        <w:t xml:space="preserve">Document ID: </w:t>
      </w:r>
      <w:r>
        <w:t xml:space="preserve">PLN-POL-007    </w:t>
      </w:r>
      <w:r>
        <w:rPr>
          <w:b/>
        </w:rPr>
        <w:t xml:space="preserve">Owner: </w:t>
      </w:r>
      <w:r>
        <w:t xml:space="preserve">VP Planning, Avery Chen    </w:t>
      </w:r>
      <w:r>
        <w:rPr>
          <w:b/>
        </w:rPr>
        <w:t xml:space="preserve">Revision: </w:t>
      </w:r>
      <w:r>
        <w:t xml:space="preserve">3.1   </w:t>
      </w:r>
      <w:r>
        <w:rPr>
          <w:b/>
        </w:rPr>
        <w:t xml:space="preserve">Effective: </w:t>
      </w:r>
      <w:r>
        <w:t>1 October 2025</w:t>
      </w:r>
    </w:p>
    <w:p>
      <w:pPr>
        <w:pStyle w:val="Heading1"/>
      </w:pPr>
      <w:r>
        <w:t>1. Scope</w:t>
      </w:r>
    </w:p>
    <w:p>
      <w:r>
        <w:t>This policy defines how Northwind Outdoor Co. sets safety stock, reorder points, and replenishment cadence for all production SKUs across the three DCs. It applies to Retail, Wholesale, and Ecommerce channels equally; channel-specific buffer rules are captured separately in the Channel Operating Standards.</w:t>
      </w:r>
    </w:p>
    <w:p>
      <w:pPr>
        <w:pStyle w:val="Heading1"/>
      </w:pPr>
      <w:r>
        <w:t>2. Service-Level Targets</w:t>
      </w:r>
    </w:p>
    <w:p>
      <w:r>
        <w:t>SKUs are classified A, B, or C by trailing 12-month revenue contribution (Pareto). Service levels:</w:t>
      </w:r>
    </w:p>
    <w:p>
      <w:pPr>
        <w:pStyle w:val="ListBullet"/>
      </w:pPr>
      <w:r>
        <w:t>A-class (top 20% of SKUs, ~80% revenue): 95% target fill rate</w:t>
      </w:r>
    </w:p>
    <w:p>
      <w:pPr>
        <w:pStyle w:val="ListBullet"/>
      </w:pPr>
      <w:r>
        <w:t>B-class (next 30% of SKUs): 90% target fill rate</w:t>
      </w:r>
    </w:p>
    <w:p>
      <w:pPr>
        <w:pStyle w:val="ListBullet"/>
      </w:pPr>
      <w:r>
        <w:t>C-class (long tail): 85% target fill rate; quarterly review for rationalization</w:t>
      </w:r>
    </w:p>
    <w:p>
      <w:pPr>
        <w:pStyle w:val="Heading1"/>
      </w:pPr>
      <w:r>
        <w:t>3. Safety Stock Formula</w:t>
      </w:r>
    </w:p>
    <w:p>
      <w:r>
        <w:t>Safety stock is computed monthly using the standard normal approximation:</w:t>
      </w:r>
    </w:p>
    <w:p>
      <w:r>
        <w:rPr>
          <w:b/>
        </w:rPr>
        <w:t xml:space="preserve">    SS = z × σ_demand × √(lead_time)</w:t>
      </w:r>
    </w:p>
    <w:p>
      <w:r>
        <w:t>Where z is the service-level z-score (95% → 1.65, 90% → 1.28, 85% → 1.04), σ_demand is the 12-week demand standard deviation, and lead_time is measured in weeks. The formula uses the production lead time, not vendor lead time, for owned-production SKUs.</w:t>
      </w:r>
    </w:p>
    <w:p>
      <w:pPr>
        <w:pStyle w:val="Heading1"/>
      </w:pPr>
      <w:r>
        <w:t>4. Standard Lead Times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Mode</w:t>
            </w:r>
          </w:p>
        </w:tc>
        <w:tc>
          <w:tcPr>
            <w:tcW w:type="dxa" w:w="2160"/>
          </w:tcPr>
          <w:p>
            <w:r>
              <w:rPr>
                <w:b/>
              </w:rPr>
              <w:t>Standard lead time</w:t>
            </w:r>
          </w:p>
        </w:tc>
        <w:tc>
          <w:tcPr>
            <w:tcW w:type="dxa" w:w="2160"/>
          </w:tcPr>
          <w:p>
            <w:r>
              <w:rPr>
                <w:b/>
              </w:rPr>
              <w:t>Variance buffer</w:t>
            </w:r>
          </w:p>
        </w:tc>
      </w:tr>
      <w:tr>
        <w:tc>
          <w:tcPr>
            <w:tcW w:type="dxa" w:w="2160"/>
          </w:tcPr>
          <w:p>
            <w:r>
              <w:t>Domestic supplier</w:t>
            </w:r>
          </w:p>
        </w:tc>
        <w:tc>
          <w:tcPr>
            <w:tcW w:type="dxa" w:w="2160"/>
          </w:tcPr>
          <w:p>
            <w:r>
              <w:t>Truck</w:t>
            </w:r>
          </w:p>
        </w:tc>
        <w:tc>
          <w:tcPr>
            <w:tcW w:type="dxa" w:w="2160"/>
          </w:tcPr>
          <w:p>
            <w:r>
              <w:t>14 days</w:t>
            </w:r>
          </w:p>
        </w:tc>
        <w:tc>
          <w:tcPr>
            <w:tcW w:type="dxa" w:w="2160"/>
          </w:tcPr>
          <w:p>
            <w:r>
              <w:t>+3 days</w:t>
            </w:r>
          </w:p>
        </w:tc>
      </w:tr>
      <w:tr>
        <w:tc>
          <w:tcPr>
            <w:tcW w:type="dxa" w:w="2160"/>
          </w:tcPr>
          <w:p>
            <w:r>
              <w:t>International (Asia)</w:t>
            </w:r>
          </w:p>
        </w:tc>
        <w:tc>
          <w:tcPr>
            <w:tcW w:type="dxa" w:w="2160"/>
          </w:tcPr>
          <w:p>
            <w:r>
              <w:t>Ocean</w:t>
            </w:r>
          </w:p>
        </w:tc>
        <w:tc>
          <w:tcPr>
            <w:tcW w:type="dxa" w:w="2160"/>
          </w:tcPr>
          <w:p>
            <w:r>
              <w:t>35 days</w:t>
            </w:r>
          </w:p>
        </w:tc>
        <w:tc>
          <w:tcPr>
            <w:tcW w:type="dxa" w:w="2160"/>
          </w:tcPr>
          <w:p>
            <w:r>
              <w:t>+7 days</w:t>
            </w:r>
          </w:p>
        </w:tc>
      </w:tr>
      <w:tr>
        <w:tc>
          <w:tcPr>
            <w:tcW w:type="dxa" w:w="2160"/>
          </w:tcPr>
          <w:p>
            <w:r>
              <w:t>International (Asia)</w:t>
            </w:r>
          </w:p>
        </w:tc>
        <w:tc>
          <w:tcPr>
            <w:tcW w:type="dxa" w:w="2160"/>
          </w:tcPr>
          <w:p>
            <w:r>
              <w:t>Air</w:t>
            </w:r>
          </w:p>
        </w:tc>
        <w:tc>
          <w:tcPr>
            <w:tcW w:type="dxa" w:w="2160"/>
          </w:tcPr>
          <w:p>
            <w:r>
              <w:t>9 days</w:t>
            </w:r>
          </w:p>
        </w:tc>
        <w:tc>
          <w:tcPr>
            <w:tcW w:type="dxa" w:w="2160"/>
          </w:tcPr>
          <w:p>
            <w:r>
              <w:t>+2 days</w:t>
            </w:r>
          </w:p>
        </w:tc>
      </w:tr>
      <w:tr>
        <w:tc>
          <w:tcPr>
            <w:tcW w:type="dxa" w:w="2160"/>
          </w:tcPr>
          <w:p>
            <w:r>
              <w:t>Own production (Reno)</w:t>
            </w:r>
          </w:p>
        </w:tc>
        <w:tc>
          <w:tcPr>
            <w:tcW w:type="dxa" w:w="2160"/>
          </w:tcPr>
          <w:p>
            <w:r>
              <w:t>Truck</w:t>
            </w:r>
          </w:p>
        </w:tc>
        <w:tc>
          <w:tcPr>
            <w:tcW w:type="dxa" w:w="2160"/>
          </w:tcPr>
          <w:p>
            <w:r>
              <w:t>21 days</w:t>
            </w:r>
          </w:p>
        </w:tc>
        <w:tc>
          <w:tcPr>
            <w:tcW w:type="dxa" w:w="2160"/>
          </w:tcPr>
          <w:p>
            <w:r>
              <w:t>+5 days</w:t>
            </w:r>
          </w:p>
        </w:tc>
      </w:tr>
    </w:tbl>
    <w:p>
      <w:pPr>
        <w:pStyle w:val="Heading1"/>
      </w:pPr>
      <w:r>
        <w:t>5. Replenishment Cadence</w:t>
      </w:r>
    </w:p>
    <w:p>
      <w:r>
        <w:t>Demand Planning reviews ATP (Available-to-Promise) weekly on Monday, generates a replenishment proposal Tuesday, and POs are released by close-of-business Wednesday. Emergency replenishment outside this cycle requires VP Planning approval and is reserved for stock-out events on A-class SKUs.</w:t>
      </w:r>
    </w:p>
    <w:p>
      <w:pPr>
        <w:pStyle w:val="Heading1"/>
      </w:pPr>
      <w:r>
        <w:t>6. Channel-Specific Rules</w:t>
      </w:r>
    </w:p>
    <w:p>
      <w:r>
        <w:t>Ecommerce: maintain a minimum of 21 days of forward cover at the Eastern DC due to next-day shipping commitments to East-coast customers. Wholesale: hold contractual buffer for top-3 retailers (REI, Bass Pro, Cabela's) per their respective agreements. Retail Stores: replenish weekly from the nearest DC, with auto-allocation by store-level sell-through.</w:t>
      </w:r>
    </w:p>
    <w:p>
      <w:pPr>
        <w:pStyle w:val="Heading1"/>
      </w:pPr>
      <w:r>
        <w:t>7. Exceptions</w:t>
      </w:r>
    </w:p>
    <w:p>
      <w:r>
        <w:t>Promotional SKUs are excluded from the standard formula for the 8 weeks surrounding the promo window; a discrete forecast and safety-stock override is applied. Discontinued SKUs (APR-9XXX et al.) are run-down only — no replenishment.</w:t>
      </w:r>
    </w:p>
    <w:p>
      <w:pPr>
        <w:pStyle w:val="Heading1"/>
      </w:pPr>
      <w:r>
        <w:t>8. KPIs</w:t>
      </w:r>
    </w:p>
    <w:p>
      <w:r>
        <w:t>Fill rate by class (A/B/C) reported weekly. Forecast accuracy (MAPE) reported monthly with a 25% target on A-class SKUs. Inventory turns reported monthly with a 6.5x target across all DCs combined.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