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Widget Co. — Q3 2025 Operations Report</w:t>
      </w:r>
    </w:p>
    <w:p>
      <w:r>
        <w:t>Acme Widget Co. shipped 47,302 Model-X widgets during Q3 2025, exceeding the quarterly target of 45,000 units. The Cleveland plant led production at 18,400 units, followed by Phoenix (14,902) and Atlanta (14,000).</w:t>
      </w:r>
    </w:p>
    <w:p>
      <w:r>
        <w:t>Defect rate fell to 0.37 percent, the lowest in plant history, driven by the new automated optical inspection line installed in July.</w:t>
      </w:r>
    </w:p>
    <w:p>
      <w:pPr>
        <w:pStyle w:val="Heading2"/>
      </w:pPr>
      <w:r>
        <w:t>Plant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Plant</w:t>
            </w:r>
          </w:p>
        </w:tc>
        <w:tc>
          <w:tcPr>
            <w:tcW w:type="dxa" w:w="2880"/>
          </w:tcPr>
          <w:p>
            <w:r>
              <w:t>Units Shipped</w:t>
            </w:r>
          </w:p>
        </w:tc>
        <w:tc>
          <w:tcPr>
            <w:tcW w:type="dxa" w:w="2880"/>
          </w:tcPr>
          <w:p>
            <w:r>
              <w:t>Defect Rate</w:t>
            </w:r>
          </w:p>
        </w:tc>
      </w:tr>
      <w:tr>
        <w:tc>
          <w:tcPr>
            <w:tcW w:type="dxa" w:w="2880"/>
          </w:tcPr>
          <w:p>
            <w:r>
              <w:t>Cleveland</w:t>
            </w:r>
          </w:p>
        </w:tc>
        <w:tc>
          <w:tcPr>
            <w:tcW w:type="dxa" w:w="2880"/>
          </w:tcPr>
          <w:p>
            <w:r>
              <w:t>18,400</w:t>
            </w:r>
          </w:p>
        </w:tc>
        <w:tc>
          <w:tcPr>
            <w:tcW w:type="dxa" w:w="2880"/>
          </w:tcPr>
          <w:p>
            <w:r>
              <w:t>0.29%</w:t>
            </w:r>
          </w:p>
        </w:tc>
      </w:tr>
      <w:tr>
        <w:tc>
          <w:tcPr>
            <w:tcW w:type="dxa" w:w="2880"/>
          </w:tcPr>
          <w:p>
            <w:r>
              <w:t>Phoenix</w:t>
            </w:r>
          </w:p>
        </w:tc>
        <w:tc>
          <w:tcPr>
            <w:tcW w:type="dxa" w:w="2880"/>
          </w:tcPr>
          <w:p>
            <w:r>
              <w:t>14,902</w:t>
            </w:r>
          </w:p>
        </w:tc>
        <w:tc>
          <w:tcPr>
            <w:tcW w:type="dxa" w:w="2880"/>
          </w:tcPr>
          <w:p>
            <w:r>
              <w:t>0.41%</w:t>
            </w:r>
          </w:p>
        </w:tc>
      </w:tr>
      <w:tr>
        <w:tc>
          <w:tcPr>
            <w:tcW w:type="dxa" w:w="2880"/>
          </w:tcPr>
          <w:p>
            <w:r>
              <w:t>Atlanta</w:t>
            </w:r>
          </w:p>
        </w:tc>
        <w:tc>
          <w:tcPr>
            <w:tcW w:type="dxa" w:w="2880"/>
          </w:tcPr>
          <w:p>
            <w:r>
              <w:t>14,000</w:t>
            </w:r>
          </w:p>
        </w:tc>
        <w:tc>
          <w:tcPr>
            <w:tcW w:type="dxa" w:w="2880"/>
          </w:tcPr>
          <w:p>
            <w:r>
              <w:t>0.44%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