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Northstar Capital — Investor Brief</w:t>
      </w:r>
    </w:p>
    <w:p>
      <w:r>
        <w:t>The following call-out summarizes the fund's headline metrics for the period ending 2025-09-30. Full methodology is provided in the appendix on request.</w:t>
      </w:r>
    </w:p>
    <w:p>
      <w:r xmlns:a="http://schemas.openxmlformats.org/drawingml/2006/main">
        <mc:AlternateContent>
          <mc:Choice Requires="wps">
            <w:drawing>
              <wp:inline distT="0" distB="0" distL="0" distR="0">
                <wp:extent cx="3200400" cy="900000"/>
                <wp:effectExtent l="0" t="0" r="0" b="0"/>
                <wp:docPr id="100" name="Text Box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9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KEY METRICS — Northstar Opportunity Fund III. Net IRR: 18.4 percent. Total commitments: 412 million USD. Fund inception: 2022-04-15. Lead portfolio manager: Dana Rivera.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inline>
            </w:drawing>
          </mc:Choice>
        </mc:AlternateContent>
      </w:r>
    </w:p>
    <w:p>
      <w:r>
        <w:t>Please direct questions to investor.relations@northstar.example.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