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HELIOS-22 Phase II Interim Readout</w:t>
      </w:r>
    </w:p>
    <w:p>
      <w:r>
        <w:t>The HELIOS-22 phase II trial enrolled 312 patients across 14 sites between 2024-06 and 2025-03. The primary endpoint was a 30 percent reduction in serum biomarker BX-7 at 12 weeks.</w:t>
      </w:r>
    </w:p>
    <w:p>
      <w:pPr>
        <w:pStyle w:val="Heading2"/>
      </w:pPr>
      <w:r>
        <w:t>Site Enrollment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Patients Enrolled</w:t>
            </w:r>
          </w:p>
        </w:tc>
      </w:tr>
      <w:tr>
        <w:tc>
          <w:tcPr>
            <w:tcW w:type="dxa" w:w="4320"/>
          </w:tcPr>
          <w:p>
            <w:r>
              <w:t>North America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Europe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Asia-Pacific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</w:tbl>
    <w:p>
      <w:r>
        <w:t>An interim safety summary is presented in the callout below.</w:t>
      </w:r>
    </w:p>
    <w:p>
      <w:r xmlns:a="http://schemas.openxmlformats.org/drawingml/2006/main">
        <mc:AlternateContent>
          <mc:Choice Requires="wps">
            <w:drawing>
              <wp:inline distT="0" distB="0" distL="0" distR="0">
                <wp:extent cx="3200400" cy="900000"/>
                <wp:effectExtent l="0" t="0" r="0" b="0"/>
                <wp:docPr id="100" name="Text Box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90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SAFETY SUMMARY — Serious adverse events: 4 of 312 patients (1.3 percent). No treatment-related deaths. Dose-limiting toxicity observed at the 800 mg arm — recommended phase III dose is 600 mg twice daily.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inline>
            </w:drawing>
          </mc:Choice>
        </mc:AlternateContent>
      </w:r>
    </w:p>
    <w:p>
      <w:r>
        <w:t>The independent data monitoring committee meets on 2025-12-08 to review the interim analysis and recommend whether HELIOS-22 should proceed to phase III.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Approved for internal distribution only. Author: Dr. Priya Anand.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Helios Pharmaceuticals — Internal Trial Brief — Document ID HEL-TR-2208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