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56"/>
          <w:szCs w:val="56"/>
        </w:rPr>
        <w:t xml:space="preserve">HELIX INNOVATIONS</w:t>
      </w:r>
    </w:p>
    <w:p>
      <w:pPr>
        <w:spacing w:after="240"/>
        <w:jc w:val="center"/>
      </w:pPr>
      <w:r>
        <w:rPr>
          <w:b/>
          <w:bCs/>
          <w:sz w:val="40"/>
          <w:szCs w:val="40"/>
        </w:rPr>
        <w:t xml:space="preserve">Employee Handbook</w:t>
      </w:r>
    </w:p>
    <w:p>
      <w:pPr>
        <w:spacing w:after="1200"/>
        <w:jc w:val="center"/>
      </w:pPr>
      <w:r>
        <w:rPr>
          <w:i/>
          <w:iCs/>
          <w:sz w:val="24"/>
          <w:szCs w:val="24"/>
        </w:rPr>
        <w:t xml:space="preserve">Edition 2026.1 — Effective January 4, 2026</w:t>
      </w:r>
    </w:p>
    <w:p>
      <w:pPr>
        <w:spacing w:after="120"/>
        <w:jc w:val="center"/>
      </w:pPr>
      <w:r>
        <w:rPr>
          <w:sz w:val="22"/>
          <w:szCs w:val="22"/>
        </w:rPr>
        <w:t xml:space="preserve">Helix Innovations, Inc.</w:t>
      </w:r>
    </w:p>
    <w:p>
      <w:pPr>
        <w:spacing w:after="120"/>
        <w:jc w:val="center"/>
      </w:pPr>
      <w:r>
        <w:rPr>
          <w:sz w:val="22"/>
          <w:szCs w:val="22"/>
        </w:rPr>
        <w:t xml:space="preserve">1455 Powell Boulevard, Suite 300</w:t>
      </w:r>
    </w:p>
    <w:p>
      <w:pPr>
        <w:spacing w:after="120"/>
        <w:jc w:val="center"/>
      </w:pPr>
      <w:r>
        <w:rPr>
          <w:sz w:val="22"/>
          <w:szCs w:val="22"/>
        </w:rPr>
        <w:t xml:space="preserve">Portland, Oregon 97214</w:t>
      </w:r>
    </w:p>
    <w:p>
      <w:r>
        <w:br w:type="page"/>
      </w:r>
    </w:p>
    <w:p>
      <w:pPr>
        <w:pStyle w:val="Heading1"/>
      </w:pPr>
      <w:r>
        <w:t xml:space="preserve">1. Welcome to Helix Innovations</w:t>
      </w:r>
    </w:p>
    <w:p>
      <w:pPr>
        <w:spacing w:after="120"/>
      </w:pPr>
      <w:r>
        <w:rPr>
          <w:b w:val="false"/>
          <w:bCs w:val="false"/>
          <w:i w:val="false"/>
          <w:iCs w:val="false"/>
        </w:rPr>
        <w:t xml:space="preserve">Helix Innovations was founded on March 14, 2018, by Dr. Aimee Tanaka and Marcus Welt in Portland, Oregon. Originally focused on biomedical imaging software, the company has since expanded into precision robotics for surgical assistance, with offices in Portland, Boston, and Singapore. Today, Helix Innovations employs 643 people across three continents and serves customers in 27 countries.</w:t>
      </w:r>
    </w:p>
    <w:p>
      <w:pPr>
        <w:spacing w:after="120"/>
      </w:pPr>
      <w:r>
        <w:rPr>
          <w:b w:val="false"/>
          <w:bCs w:val="false"/>
          <w:i w:val="false"/>
          <w:iCs w:val="false"/>
        </w:rPr>
        <w:t xml:space="preserve">This handbook describes the policies, benefits, and expectations that govern the working relationship between Helix Innovations ("the Company") and its employees. It supersedes all prior editions and any conflicting written communications dated before January 4, 2026.</w:t>
      </w:r>
    </w:p>
    <w:p>
      <w:pPr>
        <w:spacing w:after="120"/>
      </w:pPr>
      <w:r>
        <w:rPr>
          <w:b w:val="false"/>
          <w:bCs w:val="false"/>
          <w:i w:val="false"/>
          <w:iCs w:val="false"/>
        </w:rPr>
        <w:t xml:space="preserve">If any provision of this handbook conflicts with a provision of an individual employment contract, the contract prevails. Questions about the handbook should be directed to the People Operations team at peopleops@helix-innovations.example.</w:t>
      </w:r>
    </w:p>
    <w:p>
      <w:pPr>
        <w:pStyle w:val="Heading2"/>
      </w:pPr>
      <w:r>
        <w:t xml:space="preserve">1.1 Mission and Values</w:t>
      </w:r>
    </w:p>
    <w:p>
      <w:pPr>
        <w:spacing w:after="120"/>
      </w:pPr>
      <w:r>
        <w:rPr>
          <w:b w:val="false"/>
          <w:bCs w:val="false"/>
          <w:i w:val="false"/>
          <w:iCs w:val="false"/>
        </w:rPr>
        <w:t xml:space="preserve">Helix Innovations exists to develop technologies that make precision medicine accessible at scale. Our four core values guide every decision:</w:t>
      </w:r>
    </w:p>
    <w:p>
      <w:pPr>
        <w:pStyle w:val="ListParagraph"/>
        <w:numPr>
          <w:ilvl w:val="0"/>
          <w:numId w:val="2"/>
        </w:numPr>
      </w:pPr>
      <w:r>
        <w:t xml:space="preserve">Precision: Our work directly affects patient outcomes. We measure twice, ship once.</w:t>
      </w:r>
    </w:p>
    <w:p>
      <w:pPr>
        <w:pStyle w:val="ListParagraph"/>
        <w:numPr>
          <w:ilvl w:val="0"/>
          <w:numId w:val="2"/>
        </w:numPr>
      </w:pPr>
      <w:r>
        <w:t xml:space="preserve">Curiosity: We pursue answers, not opinions. Data wins.</w:t>
      </w:r>
    </w:p>
    <w:p>
      <w:pPr>
        <w:pStyle w:val="ListParagraph"/>
        <w:numPr>
          <w:ilvl w:val="0"/>
          <w:numId w:val="2"/>
        </w:numPr>
      </w:pPr>
      <w:r>
        <w:t xml:space="preserve">Accountability: We own outcomes — both wins and misses.</w:t>
      </w:r>
    </w:p>
    <w:p>
      <w:pPr>
        <w:pStyle w:val="ListParagraph"/>
        <w:numPr>
          <w:ilvl w:val="0"/>
          <w:numId w:val="2"/>
        </w:numPr>
      </w:pPr>
      <w:r>
        <w:t xml:space="preserve">Care: We act in the interest of patients, colleagues, and partners equally.</w:t>
      </w:r>
    </w:p>
    <w:p>
      <w:pPr>
        <w:pStyle w:val="Heading2"/>
      </w:pPr>
      <w:r>
        <w:t xml:space="preserve">1.2 At-Will Employment</w:t>
      </w:r>
    </w:p>
    <w:p>
      <w:pPr>
        <w:spacing w:after="120"/>
      </w:pPr>
      <w:r>
        <w:rPr>
          <w:b w:val="false"/>
          <w:bCs w:val="false"/>
          <w:i w:val="false"/>
          <w:iCs w:val="false"/>
        </w:rPr>
        <w:t xml:space="preserve">Employment with Helix Innovations is at-will. Either the employee or the Company may terminate the employment relationship at any time, with or without cause and with or without notice. Nothing in this handbook creates an express or implied contract of continued employment.</w:t>
      </w:r>
    </w:p>
    <w:p>
      <w:r>
        <w:br w:type="page"/>
      </w:r>
    </w:p>
    <w:p>
      <w:pPr>
        <w:pStyle w:val="Heading1"/>
      </w:pPr>
      <w:r>
        <w:t xml:space="preserve">2. Compensation and Benefits</w:t>
      </w:r>
    </w:p>
    <w:p>
      <w:pPr>
        <w:pStyle w:val="Heading2"/>
      </w:pPr>
      <w:r>
        <w:t xml:space="preserve">2.1 Pay Schedule</w:t>
      </w:r>
    </w:p>
    <w:p>
      <w:pPr>
        <w:spacing w:after="120"/>
      </w:pPr>
      <w:r>
        <w:rPr>
          <w:b w:val="false"/>
          <w:bCs w:val="false"/>
          <w:i w:val="false"/>
          <w:iCs w:val="false"/>
        </w:rPr>
        <w:t xml:space="preserve">All employees are paid on a bi-weekly schedule, with funds deposited on alternating Fridays. The first pay period of 2026 begins January 6 and ends January 19, with payment on January 23, 2026.</w:t>
      </w:r>
    </w:p>
    <w:p>
      <w:pPr>
        <w:pStyle w:val="Heading2"/>
      </w:pPr>
      <w:r>
        <w:t xml:space="preserve">2.2 Vacation Accrual</w:t>
      </w:r>
    </w:p>
    <w:p>
      <w:pPr>
        <w:spacing w:after="120"/>
      </w:pPr>
      <w:r>
        <w:rPr>
          <w:b w:val="false"/>
          <w:bCs w:val="false"/>
          <w:i w:val="false"/>
          <w:iCs w:val="false"/>
        </w:rPr>
        <w:t xml:space="preserve">Full-time employees accrue paid vacation time according to the table below. Accrual begins on the first day of employment. Unused vacation rolls over up to a maximum of 240 hours (30 days). Accrual above 240 hours is forfeited.</w:t>
      </w:r>
    </w:p>
    <w:p>
      <w:pPr>
        <w:spacing w:after="120"/>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Tenure</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Days Accrued / Year</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Days Accrued / Pay Period</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0 to less than 1 year</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15 days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0.577</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 to less than 3 years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18 days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0.692</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 to less than 5 years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20 days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0.769</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5 to less than 10 years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22 days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0.846</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10 or more years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27 days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1.038</w:t>
            </w:r>
          </w:p>
        </w:tc>
      </w:tr>
    </w:tbl>
    <w:p>
      <w:pPr>
        <w:spacing w:after="120"/>
      </w:pPr>
      <w:r>
        <w:rPr>
          <w:b w:val="false"/>
          <w:bCs w:val="false"/>
          <w:i w:val="false"/>
          <w:iCs w:val="false"/>
        </w:rPr>
        <w:t xml:space="preserve"/>
      </w:r>
    </w:p>
    <w:p>
      <w:pPr>
        <w:spacing w:after="120"/>
      </w:pPr>
      <w:r>
        <w:rPr>
          <w:b w:val="false"/>
          <w:bCs w:val="false"/>
          <w:i w:val="false"/>
          <w:iCs w:val="false"/>
        </w:rPr>
        <w:t xml:space="preserve">Note: Employees with 5 to less than 10 years of tenure receive exactly 22 vacation days annually. This figure is frequently misquoted as 25 — the correct value is 22.</w:t>
      </w:r>
    </w:p>
    <w:p>
      <w:pPr>
        <w:pStyle w:val="Heading2"/>
      </w:pPr>
      <w:r>
        <w:t xml:space="preserve">2.3 Health Insurance Plans</w:t>
      </w:r>
    </w:p>
    <w:p>
      <w:pPr>
        <w:spacing w:after="120"/>
      </w:pPr>
      <w:r>
        <w:rPr>
          <w:b w:val="false"/>
          <w:bCs w:val="false"/>
          <w:i w:val="false"/>
          <w:iCs w:val="false"/>
        </w:rPr>
        <w:t xml:space="preserve">Helix Innovations offers three medical plan options. The Company contributes 80% of the employee-only premium for any plan, and 70% of the family premium.</w:t>
      </w:r>
    </w:p>
    <w:p>
      <w:pPr>
        <w:spacing w:after="120"/>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Plan</w:t>
            </w:r>
          </w:p>
        </w:tc>
        <w:tc>
          <w:tcPr>
            <w:tcW w:type="dxa" w:w="234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Monthly Employee Cost</w:t>
            </w:r>
          </w:p>
        </w:tc>
        <w:tc>
          <w:tcPr>
            <w:tcW w:type="dxa" w:w="234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Annual Deductible (Individual)</w:t>
            </w:r>
          </w:p>
        </w:tc>
        <w:tc>
          <w:tcPr>
            <w:tcW w:type="dxa" w:w="234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Out-of-Pocket Max</w:t>
            </w:r>
          </w:p>
        </w:tc>
      </w:tr>
      <w:tr>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Bronze HSA</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$47</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$3,200</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$7,500</w:t>
            </w:r>
          </w:p>
        </w:tc>
      </w:tr>
      <w:tr>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Silver PPO</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$118</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$1,500</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$5,000</w:t>
            </w:r>
          </w:p>
        </w:tc>
      </w:tr>
      <w:tr>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Gold POS</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$234</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$500</w:t>
            </w:r>
          </w:p>
        </w:tc>
        <w:tc>
          <w:tcPr>
            <w:tcW w:type="dxa" w:w="234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$3,500</w:t>
            </w:r>
          </w:p>
        </w:tc>
      </w:tr>
    </w:tbl>
    <w:p>
      <w:pPr>
        <w:spacing w:after="120"/>
      </w:pPr>
      <w:r>
        <w:rPr>
          <w:b w:val="false"/>
          <w:bCs w:val="false"/>
          <w:i w:val="false"/>
          <w:iCs w:val="false"/>
        </w:rPr>
        <w:t xml:space="preserve"/>
      </w:r>
    </w:p>
    <w:p>
      <w:pPr>
        <w:spacing w:after="120"/>
      </w:pPr>
      <w:r>
        <w:rPr>
          <w:b w:val="false"/>
          <w:bCs w:val="false"/>
          <w:i w:val="false"/>
          <w:iCs w:val="false"/>
        </w:rPr>
        <w:t xml:space="preserve">Open enrollment runs from November 1 through November 21 each year. The Silver PPO is the default plan selected for employees who do not actively make a choice during their enrollment window.</w:t>
      </w:r>
    </w:p>
    <w:p>
      <w:pPr>
        <w:pStyle w:val="Heading2"/>
      </w:pPr>
      <w:r>
        <w:t xml:space="preserve">2.4 Retirement (401(k))</w:t>
      </w:r>
    </w:p>
    <w:p>
      <w:pPr>
        <w:spacing w:after="120"/>
      </w:pPr>
      <w:r>
        <w:rPr>
          <w:b w:val="false"/>
          <w:bCs w:val="false"/>
          <w:i w:val="false"/>
          <w:iCs w:val="false"/>
        </w:rPr>
        <w:t xml:space="preserve">Helix Innovations matches 100% of the first 4% of salary contributed to the 401(k) plan, with immediate full vesting. The plan provider is Fidelity, and contributions can be allocated across 22 fund options.</w:t>
      </w:r>
    </w:p>
    <w:p>
      <w:r>
        <w:br w:type="page"/>
      </w:r>
    </w:p>
    <w:p>
      <w:pPr>
        <w:pStyle w:val="Heading1"/>
      </w:pPr>
      <w:r>
        <w:t xml:space="preserve">3. Leave Policies</w:t>
      </w:r>
    </w:p>
    <w:p>
      <w:pPr>
        <w:pStyle w:val="Heading2"/>
      </w:pPr>
      <w:r>
        <w:t xml:space="preserve">3.1 Sick Leave</w:t>
      </w:r>
    </w:p>
    <w:p>
      <w:pPr>
        <w:spacing w:after="120"/>
      </w:pPr>
      <w:r>
        <w:rPr>
          <w:b w:val="false"/>
          <w:bCs w:val="false"/>
          <w:i w:val="false"/>
          <w:iCs w:val="false"/>
        </w:rPr>
        <w:t xml:space="preserve">Each full-time employee receives 80 hours of paid sick leave per calendar year, refreshed every January 1. Sick leave may be used for personal illness, medical appointments, or to care for an immediate family member. Sick leave does not roll over and is not paid out upon termination.</w:t>
      </w:r>
    </w:p>
    <w:p>
      <w:pPr>
        <w:pStyle w:val="Heading2"/>
      </w:pPr>
      <w:r>
        <w:t xml:space="preserve">3.2 Parental Leave</w:t>
      </w:r>
    </w:p>
    <w:p>
      <w:pPr>
        <w:spacing w:after="120"/>
      </w:pPr>
      <w:r>
        <w:rPr>
          <w:b w:val="false"/>
          <w:bCs w:val="false"/>
          <w:i w:val="false"/>
          <w:iCs w:val="false"/>
        </w:rPr>
        <w:t xml:space="preserve">Helix Innovations provides 16 weeks of fully-paid parental leave to the primary caregiver and 8 weeks of fully-paid leave to the secondary caregiver, regardless of gender. Adoption and foster placement are covered identically to biological birth.</w:t>
      </w:r>
    </w:p>
    <w:p>
      <w:pPr>
        <w:pStyle w:val="Heading2"/>
      </w:pPr>
      <w:r>
        <w:t xml:space="preserve">3.3 Bereavement Leave</w:t>
      </w:r>
    </w:p>
    <w:p>
      <w:pPr>
        <w:spacing w:after="120"/>
      </w:pPr>
      <w:r>
        <w:rPr>
          <w:b w:val="false"/>
          <w:bCs w:val="false"/>
          <w:i w:val="false"/>
          <w:iCs w:val="false"/>
        </w:rPr>
        <w:t xml:space="preserve">Up to 5 days of paid leave is available upon the death of an immediate family member (spouse, partner, parent, child, sibling). Up to 3 days is available for extended family (grandparent, in-law, niece, nephew).</w:t>
      </w:r>
    </w:p>
    <w:p>
      <w:pPr>
        <w:pStyle w:val="Heading2"/>
      </w:pPr>
      <w:r>
        <w:t xml:space="preserve">3.4 Jury Duty</w:t>
      </w:r>
    </w:p>
    <w:p>
      <w:pPr>
        <w:spacing w:after="120"/>
      </w:pPr>
      <w:r>
        <w:rPr>
          <w:b w:val="false"/>
          <w:bCs w:val="false"/>
          <w:i w:val="false"/>
          <w:iCs w:val="false"/>
        </w:rPr>
        <w:t xml:space="preserve">Helix Innovations pays full salary for up to 10 working days of jury service per calendar year. Employees must provide the summons to People Operations no later than 5 business days before their reporting date.</w:t>
      </w:r>
    </w:p>
    <w:p>
      <w:r>
        <w:br w:type="page"/>
      </w:r>
    </w:p>
    <w:p>
      <w:pPr>
        <w:pStyle w:val="Heading1"/>
      </w:pPr>
      <w:r>
        <w:t xml:space="preserve">4. Performance Management</w:t>
      </w:r>
    </w:p>
    <w:p>
      <w:pPr>
        <w:pStyle w:val="Heading2"/>
      </w:pPr>
      <w:r>
        <w:t xml:space="preserve">4.1 Review Cycle</w:t>
      </w:r>
    </w:p>
    <w:p>
      <w:pPr>
        <w:spacing w:after="120"/>
      </w:pPr>
      <w:r>
        <w:rPr>
          <w:b w:val="false"/>
          <w:bCs w:val="false"/>
          <w:i w:val="false"/>
          <w:iCs w:val="false"/>
        </w:rPr>
        <w:t xml:space="preserve">Performance reviews are conducted twice yearly: the first cycle concludes on March 31, and the second concludes on September 30. Each review is composed of three inputs — self-assessment, manager assessment, and a 360 feedback round from at least 3 peers.</w:t>
      </w:r>
    </w:p>
    <w:p>
      <w:pPr>
        <w:pStyle w:val="Heading2"/>
      </w:pPr>
      <w:r>
        <w:t xml:space="preserve">4.2 Rating Scale</w:t>
      </w:r>
    </w:p>
    <w:p>
      <w:pPr>
        <w:spacing w:after="120"/>
      </w:pPr>
      <w:r>
        <w:rPr>
          <w:b w:val="false"/>
          <w:bCs w:val="false"/>
          <w:i w:val="false"/>
          <w:iCs w:val="false"/>
        </w:rPr>
        <w:t xml:space="preserve">Helix Innovations uses a five-point 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Rating</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Label</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Description</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Exceptional</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Significantly exceeds all expectations across every dimension.</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4</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Strong</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Exceeds expectations in most dimensions.</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Effective</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Meets all expectations consistently. The expected rating for solid contributors.</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Developing</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Below expectations in one or more dimensions; performance improvement plan recommended.</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Below Expectations</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Significantly below expectations across multiple dimensions.</w:t>
            </w:r>
          </w:p>
        </w:tc>
      </w:tr>
    </w:tbl>
    <w:p>
      <w:pPr>
        <w:pStyle w:val="Heading2"/>
      </w:pPr>
      <w:r>
        <w:t xml:space="preserve">4.3 Calibration</w:t>
      </w:r>
    </w:p>
    <w:p>
      <w:pPr>
        <w:spacing w:after="120"/>
      </w:pPr>
      <w:r>
        <w:rPr>
          <w:b w:val="false"/>
          <w:bCs w:val="false"/>
          <w:i w:val="false"/>
          <w:iCs w:val="false"/>
        </w:rPr>
        <w:t xml:space="preserve">After managers complete reviews, ratings are calibrated in cross-team sessions held the first two weeks of April and the first two weeks of October. No more than 15% of any department may receive a rating of 5; no more than 30% may receive 4 or 5 combined.</w:t>
      </w:r>
    </w:p>
    <w:p>
      <w:r>
        <w:br w:type="page"/>
      </w:r>
    </w:p>
    <w:p>
      <w:pPr>
        <w:pStyle w:val="Heading1"/>
      </w:pPr>
      <w:r>
        <w:t xml:space="preserve">5. Code of Conduct</w:t>
      </w:r>
    </w:p>
    <w:p>
      <w:pPr>
        <w:pStyle w:val="Heading2"/>
      </w:pPr>
      <w:r>
        <w:t xml:space="preserve">5.1 Professional Behavior</w:t>
      </w:r>
    </w:p>
    <w:p>
      <w:pPr>
        <w:spacing w:after="120"/>
      </w:pPr>
      <w:r>
        <w:rPr>
          <w:b w:val="false"/>
          <w:bCs w:val="false"/>
          <w:i w:val="false"/>
          <w:iCs w:val="false"/>
        </w:rPr>
        <w:t xml:space="preserve">All employees are expected to treat colleagues, customers, and partners with respect. Harassment, discrimination, and retaliation are absolutely prohibited and grounds for immediate termination.</w:t>
      </w:r>
    </w:p>
    <w:p>
      <w:pPr>
        <w:pStyle w:val="Heading2"/>
      </w:pPr>
      <w:r>
        <w:t xml:space="preserve">5.2 Conflicts of Interest</w:t>
      </w:r>
    </w:p>
    <w:p>
      <w:pPr>
        <w:spacing w:after="120"/>
      </w:pPr>
      <w:r>
        <w:rPr>
          <w:b w:val="false"/>
          <w:bCs w:val="false"/>
          <w:i w:val="false"/>
          <w:iCs w:val="false"/>
        </w:rPr>
        <w:t xml:space="preserve">Any outside employment, board membership, consulting arrangement, or financial interest in a Helix Innovations competitor, vendor, or customer must be disclosed within 14 days of acceptance. Disclosures are reviewed by the Ethics Committee, which meets monthly.</w:t>
      </w:r>
    </w:p>
    <w:p>
      <w:pPr>
        <w:pStyle w:val="Heading2"/>
      </w:pPr>
      <w:r>
        <w:t xml:space="preserve">5.3 Confidentiality</w:t>
      </w:r>
    </w:p>
    <w:p>
      <w:pPr>
        <w:spacing w:after="120"/>
      </w:pPr>
      <w:r>
        <w:rPr>
          <w:b w:val="false"/>
          <w:bCs w:val="false"/>
          <w:i w:val="false"/>
          <w:iCs w:val="false"/>
        </w:rPr>
        <w:t xml:space="preserve">All non-public information about Helix Innovations products, customers, finances, and personnel is confidential. Confidentiality obligations survive termination indefinitely for trade secrets and for two years for general business information.</w:t>
      </w:r>
    </w:p>
    <w:p>
      <w:r>
        <w:br w:type="page"/>
      </w:r>
    </w:p>
    <w:p>
      <w:pPr>
        <w:pStyle w:val="Heading1"/>
      </w:pPr>
      <w:r>
        <w:t xml:space="preserve">6. IT Security</w:t>
      </w:r>
    </w:p>
    <w:p>
      <w:pPr>
        <w:pStyle w:val="Heading2"/>
      </w:pPr>
      <w:r>
        <w:t xml:space="preserve">6.1 Required Training</w:t>
      </w:r>
    </w:p>
    <w:p>
      <w:pPr>
        <w:spacing w:after="120"/>
      </w:pPr>
      <w:r>
        <w:rPr>
          <w:b w:val="false"/>
          <w:bCs w:val="false"/>
          <w:i w:val="false"/>
          <w:iCs w:val="false"/>
        </w:rPr>
        <w:t xml:space="preserve">All Engineering employees must complete the OWASP Top 10 training within 30 days of their hire date. Re-certification is required every 18 months.</w:t>
      </w:r>
    </w:p>
    <w:p>
      <w:pPr>
        <w:spacing w:after="120"/>
      </w:pPr>
      <w:r>
        <w:rPr>
          <w:b w:val="false"/>
          <w:bCs w:val="false"/>
          <w:i w:val="false"/>
          <w:iCs w:val="false"/>
        </w:rPr>
        <w:t xml:space="preserve">All employees with access to patient health information must complete the HIPAA training within 14 days of being granted access, and annually thereafter.</w:t>
      </w:r>
    </w:p>
    <w:p>
      <w:pPr>
        <w:pStyle w:val="Heading2"/>
      </w:pPr>
      <w:r>
        <w:t xml:space="preserve">6.2 Multi-Factor Authentication</w:t>
      </w:r>
    </w:p>
    <w:p>
      <w:pPr>
        <w:spacing w:after="120"/>
      </w:pPr>
      <w:r>
        <w:rPr>
          <w:b w:val="false"/>
          <w:bCs w:val="false"/>
          <w:i w:val="false"/>
          <w:iCs w:val="false"/>
        </w:rPr>
        <w:t xml:space="preserve">MFA is mandatory for all corporate accounts. The approved authenticator app is Duo Mobile. SMS-based codes are NOT permitted as a primary factor and may only be used as a backup if Duo is unavailable.</w:t>
      </w:r>
    </w:p>
    <w:p>
      <w:pPr>
        <w:pStyle w:val="Heading2"/>
      </w:pPr>
      <w:r>
        <w:t xml:space="preserve">6.3 Incident Reporting</w:t>
      </w:r>
    </w:p>
    <w:p>
      <w:pPr>
        <w:spacing w:after="120"/>
      </w:pPr>
      <w:r>
        <w:rPr>
          <w:b w:val="false"/>
          <w:bCs w:val="false"/>
          <w:i w:val="false"/>
          <w:iCs w:val="false"/>
        </w:rPr>
        <w:t xml:space="preserve">Suspected security incidents must be reported to security@helix-innovations.example within 1 hour of discovery. The on-call incident commander is reachable 24/7 at +1 (503) 555-0143.</w:t>
      </w:r>
    </w:p>
    <w:p>
      <w:r>
        <w:br w:type="page"/>
      </w:r>
    </w:p>
    <w:p>
      <w:pPr>
        <w:pStyle w:val="Heading1"/>
      </w:pPr>
      <w:r>
        <w:t xml:space="preserve">7. Travel and Reimbursement</w:t>
      </w:r>
    </w:p>
    <w:p>
      <w:pPr>
        <w:pStyle w:val="Heading2"/>
      </w:pPr>
      <w:r>
        <w:t xml:space="preserve">7.1 Per Diem Rates</w:t>
      </w:r>
    </w:p>
    <w:p>
      <w:pPr>
        <w:spacing w:after="120"/>
      </w:pPr>
      <w:r>
        <w:rPr>
          <w:b w:val="false"/>
          <w:bCs w:val="false"/>
          <w:i w:val="false"/>
          <w:iCs w:val="false"/>
        </w:rPr>
        <w:t xml:space="preserve">Travel per diem rates cover meals and incidentals. Lodging is reimbursed separately at actual cost up to the city cap. Per diem rates by city:</w:t>
      </w:r>
    </w:p>
    <w:p>
      <w:pPr>
        <w:spacing w:after="120"/>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City</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Daily Meal Per Diem</w:t>
            </w:r>
          </w:p>
        </w:tc>
        <w:tc>
          <w:tcPr>
            <w:tcW w:type="dxa" w:w="3120"/>
            <w:tcBorders>
              <w:top w:val="single" w:color="BFBFBF" w:sz="6"/>
              <w:left w:val="single" w:color="BFBFBF" w:sz="6"/>
              <w:bottom w:val="single" w:color="BFBFBF" w:sz="6"/>
              <w:right w:val="single" w:color="BFBFBF" w:sz="6"/>
            </w:tcBorders>
            <w:shd w:fill="1F3864" w:color="auto" w:val="clear"/>
            <w:tcMar>
              <w:top w:type="dxa" w:w="80"/>
              <w:left w:type="dxa" w:w="140"/>
              <w:bottom w:type="dxa" w:w="80"/>
              <w:right w:type="dxa" w:w="140"/>
            </w:tcMar>
          </w:tcPr>
          <w:p>
            <w:r>
              <w:rPr>
                <w:b/>
                <w:bCs/>
                <w:color w:val="FFFFFF"/>
              </w:rPr>
              <w:t xml:space="preserve">Lodging Cap</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Portland, OR (HQ)</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$75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Not applicable (employees commute)</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Boston, MA</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$95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$295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San Francisco, CA</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$110</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$420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New York, NY</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$125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$485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London, UK</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$140</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£280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Singapore</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$130</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$340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Tokyo, Japan</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$185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¥38,000 / night</w:t>
            </w:r>
          </w:p>
        </w:tc>
      </w:tr>
      <w:tr>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Zurich, Switzerland</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$165</w:t>
            </w:r>
          </w:p>
        </w:tc>
        <w:tc>
          <w:tcPr>
            <w:tcW w:type="dxa" w:w="312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CHF 380 / night</w:t>
            </w:r>
          </w:p>
        </w:tc>
      </w:tr>
    </w:tbl>
    <w:p>
      <w:pPr>
        <w:spacing w:after="120"/>
      </w:pPr>
      <w:r>
        <w:rPr>
          <w:b w:val="false"/>
          <w:bCs w:val="false"/>
          <w:i w:val="false"/>
          <w:iCs w:val="false"/>
        </w:rPr>
        <w:t xml:space="preserve"/>
      </w:r>
    </w:p>
    <w:p>
      <w:pPr>
        <w:spacing w:after="120"/>
      </w:pPr>
      <w:r>
        <w:rPr>
          <w:b w:val="false"/>
          <w:bCs w:val="false"/>
          <w:i w:val="false"/>
          <w:iCs w:val="false"/>
        </w:rPr>
        <w:t xml:space="preserve">Note: The daily meal per diem in Tokyo is $185 — the highest of any Helix Innovations destination, reflecting current restaurant pricing.</w:t>
      </w:r>
    </w:p>
    <w:p>
      <w:pPr>
        <w:pStyle w:val="Heading2"/>
      </w:pPr>
      <w:r>
        <w:t xml:space="preserve">7.2 Airfare</w:t>
      </w:r>
    </w:p>
    <w:p>
      <w:pPr>
        <w:spacing w:after="120"/>
      </w:pPr>
      <w:r>
        <w:rPr>
          <w:b w:val="false"/>
          <w:bCs w:val="false"/>
          <w:i w:val="false"/>
          <w:iCs w:val="false"/>
        </w:rPr>
        <w:t xml:space="preserve">Domestic flights under 4 hours must be booked in economy class. Flights of 4–8 hours may be booked in premium economy. Flights longer than 8 hours may be booked in business class.</w:t>
      </w:r>
    </w:p>
    <w:p>
      <w:pPr>
        <w:pStyle w:val="Heading2"/>
      </w:pPr>
      <w:r>
        <w:t xml:space="preserve">7.3 Receipts</w:t>
      </w:r>
    </w:p>
    <w:p>
      <w:pPr>
        <w:spacing w:after="120"/>
      </w:pPr>
      <w:r>
        <w:rPr>
          <w:b w:val="false"/>
          <w:bCs w:val="false"/>
          <w:i w:val="false"/>
          <w:iCs w:val="false"/>
        </w:rPr>
        <w:t xml:space="preserve">Itemized receipts are required for every expense above $25. Expense reports must be submitted within 30 days of the end of travel.</w:t>
      </w:r>
    </w:p>
    <w:p>
      <w:r>
        <w:br w:type="page"/>
      </w:r>
    </w:p>
    <w:p>
      <w:pPr>
        <w:pStyle w:val="Heading1"/>
      </w:pPr>
      <w:r>
        <w:t xml:space="preserve">8. Remote Work</w:t>
      </w:r>
    </w:p>
    <w:p>
      <w:pPr>
        <w:spacing w:after="120"/>
      </w:pPr>
      <w:r>
        <w:rPr>
          <w:b w:val="false"/>
          <w:bCs w:val="false"/>
          <w:i w:val="false"/>
          <w:iCs w:val="false"/>
        </w:rPr>
        <w:t xml:space="preserve">Helix Innovations operates on a hybrid model. Most employees are expected in the office on Tuesdays, Wednesdays, and Thursdays. Mondays and Fridays are optional remote days. Specific schedules may be adjusted with manager approval.</w:t>
      </w:r>
    </w:p>
    <w:p>
      <w:pPr>
        <w:pStyle w:val="Heading2"/>
      </w:pPr>
      <w:r>
        <w:t xml:space="preserve">8.1 Equipment</w:t>
      </w:r>
    </w:p>
    <w:p>
      <w:pPr>
        <w:spacing w:after="120"/>
      </w:pPr>
      <w:r>
        <w:rPr>
          <w:b w:val="false"/>
          <w:bCs w:val="false"/>
          <w:i w:val="false"/>
          <w:iCs w:val="false"/>
        </w:rPr>
        <w:t xml:space="preserve">The Company provides a 14-inch MacBook Pro (M4), a 27-inch Dell monitor, a Logitech MX Master 3 mouse, and a Keychron K3 keyboard for home offices. Additional equipment requires a request through the IT portal.</w:t>
      </w:r>
    </w:p>
    <w:p>
      <w:pPr>
        <w:pStyle w:val="Heading2"/>
      </w:pPr>
      <w:r>
        <w:t xml:space="preserve">8.2 Stipend</w:t>
      </w:r>
    </w:p>
    <w:p>
      <w:pPr>
        <w:spacing w:after="120"/>
      </w:pPr>
      <w:r>
        <w:rPr>
          <w:b w:val="false"/>
          <w:bCs w:val="false"/>
          <w:i w:val="false"/>
          <w:iCs w:val="false"/>
        </w:rPr>
        <w:t xml:space="preserve">Remote employees receive a one-time setup stipend of $1,200 and a recurring monthly stipend of $85 toward internet and utilities.</w:t>
      </w:r>
    </w:p>
    <w:p>
      <w:r>
        <w:br w:type="page"/>
      </w:r>
    </w:p>
    <w:p>
      <w:pPr>
        <w:pStyle w:val="Heading1"/>
      </w:pPr>
      <w:r>
        <w:t xml:space="preserve">9. Termination</w:t>
      </w:r>
    </w:p>
    <w:p>
      <w:pPr>
        <w:pStyle w:val="Heading2"/>
      </w:pPr>
      <w:r>
        <w:t xml:space="preserve">9.1 Notice</w:t>
      </w:r>
    </w:p>
    <w:p>
      <w:pPr>
        <w:spacing w:after="120"/>
      </w:pPr>
      <w:r>
        <w:rPr>
          <w:b w:val="false"/>
          <w:bCs w:val="false"/>
          <w:i w:val="false"/>
          <w:iCs w:val="false"/>
        </w:rPr>
        <w:t xml:space="preserve">Employees are encouraged to provide a minimum of 2 weeks' written notice when resigning. Engineering managers and above are expected to provide 4 weeks' notice.</w:t>
      </w:r>
    </w:p>
    <w:p>
      <w:pPr>
        <w:pStyle w:val="Heading2"/>
      </w:pPr>
      <w:r>
        <w:t xml:space="preserve">9.2 Final Pay</w:t>
      </w:r>
    </w:p>
    <w:p>
      <w:pPr>
        <w:spacing w:after="120"/>
      </w:pPr>
      <w:r>
        <w:rPr>
          <w:b w:val="false"/>
          <w:bCs w:val="false"/>
          <w:i w:val="false"/>
          <w:iCs w:val="false"/>
        </w:rPr>
        <w:t xml:space="preserve">Final paychecks are issued on the next scheduled pay date and include all accrued but unused vacation paid out at the employee's current base rate.</w:t>
      </w:r>
    </w:p>
    <w:p>
      <w:pPr>
        <w:pStyle w:val="Heading2"/>
      </w:pPr>
      <w:r>
        <w:t xml:space="preserve">9.3 Return of Property</w:t>
      </w:r>
    </w:p>
    <w:p>
      <w:pPr>
        <w:spacing w:after="120"/>
      </w:pPr>
      <w:r>
        <w:rPr>
          <w:b w:val="false"/>
          <w:bCs w:val="false"/>
          <w:i w:val="false"/>
          <w:iCs w:val="false"/>
        </w:rPr>
        <w:t xml:space="preserve">All Company property — laptops, monitors, badges, keys, encryption tokens — must be returned within 5 business days of the final day of employment. Unreturned items above $200 in value will be billed to the departing employee.</w:t>
      </w:r>
    </w:p>
    <w:p>
      <w:pPr>
        <w:pStyle w:val="Heading2"/>
      </w:pPr>
      <w:r>
        <w:t xml:space="preserve">9.4 Severance</w:t>
      </w:r>
    </w:p>
    <w:p>
      <w:pPr>
        <w:spacing w:after="120"/>
      </w:pPr>
      <w:r>
        <w:rPr>
          <w:b w:val="false"/>
          <w:bCs w:val="false"/>
          <w:i w:val="false"/>
          <w:iCs w:val="false"/>
        </w:rPr>
        <w:t xml:space="preserve">In the event of an involuntary, no-cause termination, Helix Innovations provides severance equal to 2 weeks of base salary per year of service, with a minimum of 4 weeks and a maximum of 26 weeks. Severance is conditional on signing a separation agreement.</w:t>
      </w:r>
    </w:p>
    <w:p>
      <w:r>
        <w:br w:type="page"/>
      </w:r>
    </w:p>
    <w:p>
      <w:pPr>
        <w:pStyle w:val="Heading1"/>
      </w:pPr>
      <w:r>
        <w:t xml:space="preserve">10. Acknowledgment</w:t>
      </w:r>
    </w:p>
    <w:p>
      <w:pPr>
        <w:spacing w:after="120"/>
      </w:pPr>
      <w:r>
        <w:rPr>
          <w:b w:val="false"/>
          <w:bCs w:val="false"/>
          <w:i w:val="false"/>
          <w:iCs w:val="false"/>
        </w:rPr>
        <w:t xml:space="preserve">I acknowledge that I have read the Helix Innovations Employee Handbook, Edition 2026.1, dated January 4, 2026, and that I understand and agree to its provisions. I understand that this handbook supersedes all prior editions and is not a contract of employment.</w:t>
      </w:r>
    </w:p>
    <w:p>
      <w:pPr>
        <w:spacing w:after="120"/>
      </w:pPr>
      <w:r>
        <w:rPr>
          <w:b w:val="false"/>
          <w:bCs w:val="false"/>
          <w:i w:val="false"/>
          <w:iCs w:val="false"/>
        </w:rPr>
        <w:t xml:space="preserve"/>
      </w:r>
    </w:p>
    <w:p>
      <w:pPr>
        <w:spacing w:after="120"/>
      </w:pPr>
      <w:r>
        <w:rPr>
          <w:b w:val="false"/>
          <w:bCs w:val="false"/>
          <w:i w:val="false"/>
          <w:iCs w:val="false"/>
        </w:rPr>
        <w:t xml:space="preserve">Employee Name: _____________________________________________</w:t>
      </w:r>
    </w:p>
    <w:p>
      <w:pPr>
        <w:spacing w:after="120"/>
      </w:pPr>
      <w:r>
        <w:rPr>
          <w:b w:val="false"/>
          <w:bCs w:val="false"/>
          <w:i w:val="false"/>
          <w:iCs w:val="false"/>
        </w:rPr>
        <w:t xml:space="preserve"/>
      </w:r>
    </w:p>
    <w:p>
      <w:pPr>
        <w:spacing w:after="120"/>
      </w:pPr>
      <w:r>
        <w:rPr>
          <w:b w:val="false"/>
          <w:bCs w:val="false"/>
          <w:i w:val="false"/>
          <w:iCs w:val="false"/>
        </w:rPr>
        <w:t xml:space="preserve">Employee Signature: __________________________________________</w:t>
      </w:r>
    </w:p>
    <w:p>
      <w:pPr>
        <w:spacing w:after="120"/>
      </w:pPr>
      <w:r>
        <w:rPr>
          <w:b w:val="false"/>
          <w:bCs w:val="false"/>
          <w:i w:val="false"/>
          <w:iCs w:val="false"/>
        </w:rPr>
        <w:t xml:space="preserve"/>
      </w:r>
    </w:p>
    <w:p>
      <w:pPr>
        <w:spacing w:after="120"/>
      </w:pPr>
      <w:r>
        <w:rPr>
          <w:b w:val="false"/>
          <w:bCs w:val="false"/>
          <w:i w:val="false"/>
          <w:iCs w:val="false"/>
        </w:rPr>
        <w:t xml:space="preserve">Date: 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2026-05-20T23:37:22.063Z</dcterms:created>
  <dcterms:modified xsi:type="dcterms:W3CDTF">2026-05-20T23:37:22.065Z</dcterms:modified>
</cp:coreProperties>
</file>

<file path=docProps/custom.xml><?xml version="1.0" encoding="utf-8"?>
<Properties xmlns="http://schemas.openxmlformats.org/officeDocument/2006/custom-properties" xmlns:vt="http://schemas.openxmlformats.org/officeDocument/2006/docPropsVTypes"/>
</file>