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800"/>
        <w:jc w:val="center"/>
      </w:pPr>
      <w:r>
        <w:rPr>
          <w:b/>
          <w:bCs/>
          <w:color w:val="1F3864"/>
          <w:sz w:val="44"/>
          <w:szCs w:val="44"/>
        </w:rPr>
        <w:t xml:space="preserve">Quantum-Resistant Cryptography</w:t>
      </w:r>
    </w:p>
    <w:p>
      <w:pPr>
        <w:spacing w:after="240"/>
        <w:jc w:val="center"/>
      </w:pPr>
      <w:r>
        <w:rPr>
          <w:b/>
          <w:bCs/>
          <w:sz w:val="32"/>
          <w:szCs w:val="32"/>
        </w:rPr>
        <w:t xml:space="preserve">Migration Plan — Q3 2026</w:t>
      </w:r>
    </w:p>
    <w:p>
      <w:pPr>
        <w:spacing w:after="1200"/>
        <w:jc w:val="center"/>
      </w:pPr>
      <w:r>
        <w:rPr>
          <w:i/>
          <w:iCs/>
          <w:sz w:val="24"/>
          <w:szCs w:val="24"/>
        </w:rPr>
        <w:t xml:space="preserve">Internal Engineering — Confidential</w:t>
      </w:r>
    </w:p>
    <w:p>
      <w:pPr>
        <w:jc w:val="center"/>
      </w:pPr>
      <w:r>
        <w:rPr>
          <w:sz w:val="22"/>
          <w:szCs w:val="22"/>
        </w:rPr>
        <w:t xml:space="preserve">Prepared by: Dr. Priya Subramanian, Principal Cryptographer</w:t>
      </w:r>
    </w:p>
    <w:p>
      <w:pPr>
        <w:jc w:val="center"/>
      </w:pPr>
      <w:r>
        <w:rPr>
          <w:sz w:val="22"/>
          <w:szCs w:val="22"/>
        </w:rPr>
        <w:t xml:space="preserve">Approved: May 28, 2026</w:t>
      </w:r>
    </w:p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This document describes the plan to migrate our internal and customer-facing systems from RSA-2048 and ECDSA-P256 to post-quantum cryptographic (PQC) algorithms standardized by NIST in 2024. Migration begins July 15, 2026 and is scheduled to complete by Q2 2027.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The total approved budget is $4,200,000 USD, allocated across four phases. The migration affects 47 internal services and 12 customer-facing APIs. The primary lead is Dr. Priya Subramanian; technical execution is shared across the Platform Security team (12 engineers) and the Cloud Infrastructure team (9 engineers).</w:t>
      </w:r>
    </w:p>
    <w:p>
      <w:pPr>
        <w:pStyle w:val="Heading2"/>
      </w:pPr>
      <w:r>
        <w:t xml:space="preserve">1.1 Rationale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Recent improvements in error-corrected quantum computing — particularly the demonstration of a 1,121 logical qubit system in late 2025 — have shortened the public estimates of when a cryptographically-relevant quantum computer might exist. NIST and CISA recommend completion of PQC migration for high-value systems by 2030. Our internal threat model (which assumes harvest-now-decrypt-later attacks on PII) targets completion by mid-2027.</w:t>
      </w:r>
    </w:p>
    <w:p>
      <w:r>
        <w:br w:type="page"/>
      </w:r>
    </w:p>
    <w:p>
      <w:pPr>
        <w:pStyle w:val="Heading1"/>
      </w:pPr>
      <w:r>
        <w:t xml:space="preserve">2. Threat Model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We assume a well-funded adversary with the capabilities outlined below.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3864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Capability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3864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Available (today)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3864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Assumed by 2030</w:t>
            </w:r>
          </w:p>
        </w:tc>
      </w:tr>
      <w:tr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Harvest-now-decrypt-later (HNDL)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Yes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Yes</w:t>
            </w:r>
          </w:p>
        </w:tc>
      </w:tr>
      <w:tr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Side-channel analysis on edge devices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Yes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Yes</w:t>
            </w:r>
          </w:p>
        </w:tc>
      </w:tr>
      <w:tr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Shor's algorithm at 4,000 logical qubits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No (~1,100 today)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Plausible</w:t>
            </w:r>
          </w:p>
        </w:tc>
      </w:tr>
      <w:tr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Grover's algorithm on 128-bit ciphers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No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Not material (PQC sym keys widened to 256-bit)</w:t>
            </w:r>
          </w:p>
        </w:tc>
      </w:tr>
      <w:tr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Quantum random number prediction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No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No</w:t>
            </w:r>
          </w:p>
        </w:tc>
      </w:tr>
    </w:tbl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Our migration must therefore protect data with confidentiality requirements extending past 2030. This includes anything in our customer database covered by GDPR, HIPAA, or our 7-year contractual retention obligations.</w:t>
      </w:r>
    </w:p>
    <w:p>
      <w:r>
        <w:br w:type="page"/>
      </w:r>
    </w:p>
    <w:p>
      <w:pPr>
        <w:pStyle w:val="Heading1"/>
      </w:pPr>
      <w:r>
        <w:t xml:space="preserve">3. Algorithm Selection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We are adopting the NIST-standardized PQC algorithms finalized in August 2024: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3864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  <w:tc>
          <w:tcPr>
            <w:tcW w:type="dxa" w:w="23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3864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Selected Algorithm</w:t>
            </w:r>
          </w:p>
        </w:tc>
        <w:tc>
          <w:tcPr>
            <w:tcW w:type="dxa" w:w="23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3864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Public Key</w:t>
            </w:r>
          </w:p>
        </w:tc>
        <w:tc>
          <w:tcPr>
            <w:tcW w:type="dxa" w:w="23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3864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Ciphertext / Signature</w:t>
            </w:r>
          </w:p>
        </w:tc>
      </w:tr>
      <w:tr>
        <w:tc>
          <w:tcPr>
            <w:tcW w:type="dxa" w:w="23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Key encapsulation</w:t>
            </w:r>
          </w:p>
        </w:tc>
        <w:tc>
          <w:tcPr>
            <w:tcW w:type="dxa" w:w="23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ML-KEM-768 (formerly CRYSTALS-Kyber)</w:t>
            </w:r>
          </w:p>
        </w:tc>
        <w:tc>
          <w:tcPr>
            <w:tcW w:type="dxa" w:w="23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1,184 bytes</w:t>
            </w:r>
          </w:p>
        </w:tc>
        <w:tc>
          <w:tcPr>
            <w:tcW w:type="dxa" w:w="23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1,088 bytes</w:t>
            </w:r>
          </w:p>
        </w:tc>
      </w:tr>
      <w:tr>
        <w:tc>
          <w:tcPr>
            <w:tcW w:type="dxa" w:w="23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Digital signature</w:t>
            </w:r>
          </w:p>
        </w:tc>
        <w:tc>
          <w:tcPr>
            <w:tcW w:type="dxa" w:w="23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ML-DSA-65 (formerly CRYSTALS-Dilithium)</w:t>
            </w:r>
          </w:p>
        </w:tc>
        <w:tc>
          <w:tcPr>
            <w:tcW w:type="dxa" w:w="23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1,952 bytes</w:t>
            </w:r>
          </w:p>
        </w:tc>
        <w:tc>
          <w:tcPr>
            <w:tcW w:type="dxa" w:w="23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3,309 bytes</w:t>
            </w:r>
          </w:p>
        </w:tc>
      </w:tr>
      <w:tr>
        <w:tc>
          <w:tcPr>
            <w:tcW w:type="dxa" w:w="23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Hash-based signature (long-term roots)</w:t>
            </w:r>
          </w:p>
        </w:tc>
        <w:tc>
          <w:tcPr>
            <w:tcW w:type="dxa" w:w="23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SLH-DSA-SHA2-128s (formerly SPHINCS+)</w:t>
            </w:r>
          </w:p>
        </w:tc>
        <w:tc>
          <w:tcPr>
            <w:tcW w:type="dxa" w:w="23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32 bytes</w:t>
            </w:r>
          </w:p>
        </w:tc>
        <w:tc>
          <w:tcPr>
            <w:tcW w:type="dxa" w:w="234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7,856 bytes</w:t>
            </w:r>
          </w:p>
        </w:tc>
      </w:tr>
    </w:tbl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Note: The selected key encapsulation algorithm is ML-KEM-768, formerly known as CRYSTALS-Kyber. This is the algorithm referenced throughout this document as our "primary KEM."</w:t>
      </w:r>
    </w:p>
    <w:p>
      <w:pPr>
        <w:pStyle w:val="Heading2"/>
      </w:pPr>
      <w:r>
        <w:t xml:space="preserve">3.1 Hybrid Period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During the migration window we operate in hybrid mode: a TLS handshake establishes session keys using BOTH classical (X25519) and PQC (ML-KEM-768) key exchanges, with the final session key derived by HKDF over both shared secrets. This guarantees backwards compatibility with non-PQC clients and zero downgrade attack surface.</w:t>
      </w:r>
    </w:p>
    <w:p>
      <w:r>
        <w:br w:type="page"/>
      </w:r>
    </w:p>
    <w:p>
      <w:pPr>
        <w:pStyle w:val="Heading1"/>
      </w:pPr>
      <w:r>
        <w:t xml:space="preserve">4. Migration Phases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3864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Phase</w:t>
            </w:r>
          </w:p>
        </w:tc>
        <w:tc>
          <w:tcPr>
            <w:tcW w:type="dxa" w:w="1872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3864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Name</w:t>
            </w:r>
          </w:p>
        </w:tc>
        <w:tc>
          <w:tcPr>
            <w:tcW w:type="dxa" w:w="1872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3864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Start Date</w:t>
            </w:r>
          </w:p>
        </w:tc>
        <w:tc>
          <w:tcPr>
            <w:tcW w:type="dxa" w:w="1872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3864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End Date</w:t>
            </w:r>
          </w:p>
        </w:tc>
        <w:tc>
          <w:tcPr>
            <w:tcW w:type="dxa" w:w="1872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3864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Budget</w:t>
            </w:r>
          </w:p>
        </w:tc>
      </w:tr>
      <w:tr>
        <w:tc>
          <w:tcPr>
            <w:tcW w:type="dxa" w:w="1872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1</w:t>
            </w:r>
          </w:p>
        </w:tc>
        <w:tc>
          <w:tcPr>
            <w:tcW w:type="dxa" w:w="1872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Internal Inventory + Discovery</w:t>
            </w:r>
          </w:p>
        </w:tc>
        <w:tc>
          <w:tcPr>
            <w:tcW w:type="dxa" w:w="1872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July 15, 2026</w:t>
            </w:r>
          </w:p>
        </w:tc>
        <w:tc>
          <w:tcPr>
            <w:tcW w:type="dxa" w:w="1872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August 31, 2026</w:t>
            </w:r>
          </w:p>
        </w:tc>
        <w:tc>
          <w:tcPr>
            <w:tcW w:type="dxa" w:w="1872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$320,000</w:t>
            </w:r>
          </w:p>
        </w:tc>
      </w:tr>
      <w:tr>
        <w:tc>
          <w:tcPr>
            <w:tcW w:type="dxa" w:w="1872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2</w:t>
            </w:r>
          </w:p>
        </w:tc>
        <w:tc>
          <w:tcPr>
            <w:tcW w:type="dxa" w:w="1872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Internal Services Migration</w:t>
            </w:r>
          </w:p>
        </w:tc>
        <w:tc>
          <w:tcPr>
            <w:tcW w:type="dxa" w:w="1872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September 1, 2026</w:t>
            </w:r>
          </w:p>
        </w:tc>
        <w:tc>
          <w:tcPr>
            <w:tcW w:type="dxa" w:w="1872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December 19, 2026</w:t>
            </w:r>
          </w:p>
        </w:tc>
        <w:tc>
          <w:tcPr>
            <w:tcW w:type="dxa" w:w="1872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$1,450,000</w:t>
            </w:r>
          </w:p>
        </w:tc>
      </w:tr>
      <w:tr>
        <w:tc>
          <w:tcPr>
            <w:tcW w:type="dxa" w:w="1872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3</w:t>
            </w:r>
          </w:p>
        </w:tc>
        <w:tc>
          <w:tcPr>
            <w:tcW w:type="dxa" w:w="1872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Customer-facing API Migration</w:t>
            </w:r>
          </w:p>
        </w:tc>
        <w:tc>
          <w:tcPr>
            <w:tcW w:type="dxa" w:w="1872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January 5, 2027</w:t>
            </w:r>
          </w:p>
        </w:tc>
        <w:tc>
          <w:tcPr>
            <w:tcW w:type="dxa" w:w="1872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April 17, 2027</w:t>
            </w:r>
          </w:p>
        </w:tc>
        <w:tc>
          <w:tcPr>
            <w:tcW w:type="dxa" w:w="1872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$1,830,000</w:t>
            </w:r>
          </w:p>
        </w:tc>
      </w:tr>
      <w:tr>
        <w:tc>
          <w:tcPr>
            <w:tcW w:type="dxa" w:w="1872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4</w:t>
            </w:r>
          </w:p>
        </w:tc>
        <w:tc>
          <w:tcPr>
            <w:tcW w:type="dxa" w:w="1872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Decommission Classical Algorithms</w:t>
            </w:r>
          </w:p>
        </w:tc>
        <w:tc>
          <w:tcPr>
            <w:tcW w:type="dxa" w:w="1872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April 20, 2027</w:t>
            </w:r>
          </w:p>
        </w:tc>
        <w:tc>
          <w:tcPr>
            <w:tcW w:type="dxa" w:w="1872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June 30, 2027</w:t>
            </w:r>
          </w:p>
        </w:tc>
        <w:tc>
          <w:tcPr>
            <w:tcW w:type="dxa" w:w="1872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$600,000</w:t>
            </w:r>
          </w:p>
        </w:tc>
      </w:tr>
    </w:tbl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Phase 1 begins on July 15, 2026 — this is the migration kickoff date for the entire program. All scheduling references in this document anchor to that date.</w:t>
      </w:r>
    </w:p>
    <w:p>
      <w:pPr>
        <w:pStyle w:val="Heading2"/>
      </w:pPr>
      <w:r>
        <w:t xml:space="preserve">4.1 Phase 1 Detail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Phase 1 performs a complete cryptographic inventory: every TLS certificate, every signing key, every encrypted-at-rest blob. We tag each artifact with one of three migration paths — hybrid, in-place replacement, or deprecation.</w:t>
      </w:r>
    </w:p>
    <w:p>
      <w:pPr>
        <w:pStyle w:val="Heading2"/>
      </w:pPr>
      <w:r>
        <w:t xml:space="preserve">4.2 Phase 2 Detail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Phase 2 covers the 47 internal services. Each service team receives a dedicated PQC liaison from the Platform Security team. Services migrate in order of criticality: tier-1 (auth, billing) first; tier-3 (internal dashboards) last.</w:t>
      </w:r>
    </w:p>
    <w:p>
      <w:pPr>
        <w:pStyle w:val="Heading2"/>
      </w:pPr>
      <w:r>
        <w:t xml:space="preserve">4.3 Phase 3 Detail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Phase 3 covers the 12 customer-facing APIs. We will offer customers a 90-day overlap during which both the classical and PQC endpoints accept requests, with a deprecation notice emitted on every classical request.</w:t>
      </w:r>
    </w:p>
    <w:p>
      <w:pPr>
        <w:pStyle w:val="Heading2"/>
      </w:pPr>
      <w:r>
        <w:t xml:space="preserve">4.4 Phase 4 Detail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Phase 4 removes the classical key exchange and signing paths. Production cipher suites are restricted to PQC-only or hybrid (no classical-only). All RSA-2048 and ECDSA-P256 keys are rotated to ML-KEM-768 / ML-DSA-65 equivalents.</w:t>
      </w:r>
    </w:p>
    <w:p>
      <w:r>
        <w:br w:type="page"/>
      </w:r>
    </w:p>
    <w:p>
      <w:pPr>
        <w:pStyle w:val="Heading1"/>
      </w:pPr>
      <w:r>
        <w:t xml:space="preserve">5. Risk Assessment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3864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1872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3864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Risk</w:t>
            </w:r>
          </w:p>
        </w:tc>
        <w:tc>
          <w:tcPr>
            <w:tcW w:type="dxa" w:w="1872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3864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Likelihood</w:t>
            </w:r>
          </w:p>
        </w:tc>
        <w:tc>
          <w:tcPr>
            <w:tcW w:type="dxa" w:w="1872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3864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Impact</w:t>
            </w:r>
          </w:p>
        </w:tc>
        <w:tc>
          <w:tcPr>
            <w:tcW w:type="dxa" w:w="1872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3864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Mitigation</w:t>
            </w:r>
          </w:p>
        </w:tc>
      </w:tr>
      <w:tr>
        <w:tc>
          <w:tcPr>
            <w:tcW w:type="dxa" w:w="1872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R1</w:t>
            </w:r>
          </w:p>
        </w:tc>
        <w:tc>
          <w:tcPr>
            <w:tcW w:type="dxa" w:w="1872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Customer client libraries don't support PQC</w:t>
            </w:r>
          </w:p>
        </w:tc>
        <w:tc>
          <w:tcPr>
            <w:tcW w:type="dxa" w:w="1872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High</w:t>
            </w:r>
          </w:p>
        </w:tc>
        <w:tc>
          <w:tcPr>
            <w:tcW w:type="dxa" w:w="1872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Medium</w:t>
            </w:r>
          </w:p>
        </w:tc>
        <w:tc>
          <w:tcPr>
            <w:tcW w:type="dxa" w:w="1872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Hybrid mode; vendor outreach starting July 2026</w:t>
            </w:r>
          </w:p>
        </w:tc>
      </w:tr>
      <w:tr>
        <w:tc>
          <w:tcPr>
            <w:tcW w:type="dxa" w:w="1872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R2</w:t>
            </w:r>
          </w:p>
        </w:tc>
        <w:tc>
          <w:tcPr>
            <w:tcW w:type="dxa" w:w="1872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ML-KEM-768 ciphertext size breaks legacy MTU assumptions</w:t>
            </w:r>
          </w:p>
        </w:tc>
        <w:tc>
          <w:tcPr>
            <w:tcW w:type="dxa" w:w="1872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Medium</w:t>
            </w:r>
          </w:p>
        </w:tc>
        <w:tc>
          <w:tcPr>
            <w:tcW w:type="dxa" w:w="1872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Medium</w:t>
            </w:r>
          </w:p>
        </w:tc>
        <w:tc>
          <w:tcPr>
            <w:tcW w:type="dxa" w:w="1872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Path MTU testing during Phase 2</w:t>
            </w:r>
          </w:p>
        </w:tc>
      </w:tr>
      <w:tr>
        <w:tc>
          <w:tcPr>
            <w:tcW w:type="dxa" w:w="1872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R3</w:t>
            </w:r>
          </w:p>
        </w:tc>
        <w:tc>
          <w:tcPr>
            <w:tcW w:type="dxa" w:w="1872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Performance regression on edge devices (ARM Cortex-M)</w:t>
            </w:r>
          </w:p>
        </w:tc>
        <w:tc>
          <w:tcPr>
            <w:tcW w:type="dxa" w:w="1872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Medium</w:t>
            </w:r>
          </w:p>
        </w:tc>
        <w:tc>
          <w:tcPr>
            <w:tcW w:type="dxa" w:w="1872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High</w:t>
            </w:r>
          </w:p>
        </w:tc>
        <w:tc>
          <w:tcPr>
            <w:tcW w:type="dxa" w:w="1872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Hardware acceleration shim; benchmark gating</w:t>
            </w:r>
          </w:p>
        </w:tc>
      </w:tr>
      <w:tr>
        <w:tc>
          <w:tcPr>
            <w:tcW w:type="dxa" w:w="1872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R4</w:t>
            </w:r>
          </w:p>
        </w:tc>
        <w:tc>
          <w:tcPr>
            <w:tcW w:type="dxa" w:w="1872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NIST standard amendments between 2026 and migration completion</w:t>
            </w:r>
          </w:p>
        </w:tc>
        <w:tc>
          <w:tcPr>
            <w:tcW w:type="dxa" w:w="1872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Low</w:t>
            </w:r>
          </w:p>
        </w:tc>
        <w:tc>
          <w:tcPr>
            <w:tcW w:type="dxa" w:w="1872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High</w:t>
            </w:r>
          </w:p>
        </w:tc>
        <w:tc>
          <w:tcPr>
            <w:tcW w:type="dxa" w:w="1872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Algorithm-agility framework abstracting algorithm choice</w:t>
            </w:r>
          </w:p>
        </w:tc>
      </w:tr>
      <w:tr>
        <w:tc>
          <w:tcPr>
            <w:tcW w:type="dxa" w:w="1872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R5</w:t>
            </w:r>
          </w:p>
        </w:tc>
        <w:tc>
          <w:tcPr>
            <w:tcW w:type="dxa" w:w="1872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Side-channel leakage in our reference implementation</w:t>
            </w:r>
          </w:p>
        </w:tc>
        <w:tc>
          <w:tcPr>
            <w:tcW w:type="dxa" w:w="1872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Medium</w:t>
            </w:r>
          </w:p>
        </w:tc>
        <w:tc>
          <w:tcPr>
            <w:tcW w:type="dxa" w:w="1872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High</w:t>
            </w:r>
          </w:p>
        </w:tc>
        <w:tc>
          <w:tcPr>
            <w:tcW w:type="dxa" w:w="1872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External audit by Trail of Bits; constant-time implementation</w:t>
            </w:r>
          </w:p>
        </w:tc>
      </w:tr>
      <w:tr>
        <w:tc>
          <w:tcPr>
            <w:tcW w:type="dxa" w:w="1872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R6</w:t>
            </w:r>
          </w:p>
        </w:tc>
        <w:tc>
          <w:tcPr>
            <w:tcW w:type="dxa" w:w="1872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Key escrow / regulatory pushback in EU markets</w:t>
            </w:r>
          </w:p>
        </w:tc>
        <w:tc>
          <w:tcPr>
            <w:tcW w:type="dxa" w:w="1872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Low</w:t>
            </w:r>
          </w:p>
        </w:tc>
        <w:tc>
          <w:tcPr>
            <w:tcW w:type="dxa" w:w="1872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Medium</w:t>
            </w:r>
          </w:p>
        </w:tc>
        <w:tc>
          <w:tcPr>
            <w:tcW w:type="dxa" w:w="1872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Legal review in Q4 2026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Team and Responsibilities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3864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3864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Owner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3864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Headcount</w:t>
            </w:r>
          </w:p>
        </w:tc>
      </w:tr>
      <w:tr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Principal Cryptographer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Dr. Priya Subramanian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1</w:t>
            </w:r>
          </w:p>
        </w:tc>
      </w:tr>
      <w:tr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Platform Security Team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Marcus Chen (Director)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12</w:t>
            </w:r>
          </w:p>
        </w:tc>
      </w:tr>
      <w:tr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Cloud Infrastructure Team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Sara Lindqvist (Director)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9</w:t>
            </w:r>
          </w:p>
        </w:tc>
      </w:tr>
      <w:tr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Security Operations Liaison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Tomás Reyes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2</w:t>
            </w:r>
          </w:p>
        </w:tc>
      </w:tr>
      <w:tr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External Auditor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Trail of Bits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Contract — 3 reviewers</w:t>
            </w:r>
          </w:p>
        </w:tc>
      </w:tr>
      <w:tr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Customer Success Coordinator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Olivia Kapoor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1</w:t>
            </w:r>
          </w:p>
        </w:tc>
      </w:tr>
      <w:tr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Executive Sponsor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CTO (Janice Akabu)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1</w:t>
            </w:r>
          </w:p>
        </w:tc>
      </w:tr>
    </w:tbl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Total internal headcount allocated to the migration: 26 engineers and managers, plus 1 contracted audit team.</w:t>
      </w:r>
    </w:p>
    <w:p>
      <w:r>
        <w:br w:type="page"/>
      </w:r>
    </w:p>
    <w:p>
      <w:pPr>
        <w:pStyle w:val="Heading1"/>
      </w:pPr>
      <w:r>
        <w:t xml:space="preserve">7. Budget Detail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5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3864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Category</w:t>
            </w:r>
          </w:p>
        </w:tc>
        <w:tc>
          <w:tcPr>
            <w:tcW w:type="dxa" w:w="15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3864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Phase 1</w:t>
            </w:r>
          </w:p>
        </w:tc>
        <w:tc>
          <w:tcPr>
            <w:tcW w:type="dxa" w:w="15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3864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Phase 2</w:t>
            </w:r>
          </w:p>
        </w:tc>
        <w:tc>
          <w:tcPr>
            <w:tcW w:type="dxa" w:w="15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3864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Phase 3</w:t>
            </w:r>
          </w:p>
        </w:tc>
        <w:tc>
          <w:tcPr>
            <w:tcW w:type="dxa" w:w="15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3864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Phase 4</w:t>
            </w:r>
          </w:p>
        </w:tc>
        <w:tc>
          <w:tcPr>
            <w:tcW w:type="dxa" w:w="15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3864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Total</w:t>
            </w:r>
          </w:p>
        </w:tc>
      </w:tr>
      <w:tr>
        <w:tc>
          <w:tcPr>
            <w:tcW w:type="dxa" w:w="15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Engineering labor</w:t>
            </w:r>
          </w:p>
        </w:tc>
        <w:tc>
          <w:tcPr>
            <w:tcW w:type="dxa" w:w="15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$200,000</w:t>
            </w:r>
          </w:p>
        </w:tc>
        <w:tc>
          <w:tcPr>
            <w:tcW w:type="dxa" w:w="15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$950,000</w:t>
            </w:r>
          </w:p>
        </w:tc>
        <w:tc>
          <w:tcPr>
            <w:tcW w:type="dxa" w:w="15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$1,200,000</w:t>
            </w:r>
          </w:p>
        </w:tc>
        <w:tc>
          <w:tcPr>
            <w:tcW w:type="dxa" w:w="15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$400,000</w:t>
            </w:r>
          </w:p>
        </w:tc>
        <w:tc>
          <w:tcPr>
            <w:tcW w:type="dxa" w:w="15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$2,750,000</w:t>
            </w:r>
          </w:p>
        </w:tc>
      </w:tr>
      <w:tr>
        <w:tc>
          <w:tcPr>
            <w:tcW w:type="dxa" w:w="15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External audit</w:t>
            </w:r>
          </w:p>
        </w:tc>
        <w:tc>
          <w:tcPr>
            <w:tcW w:type="dxa" w:w="15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$80,000</w:t>
            </w:r>
          </w:p>
        </w:tc>
        <w:tc>
          <w:tcPr>
            <w:tcW w:type="dxa" w:w="15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$200,000</w:t>
            </w:r>
          </w:p>
        </w:tc>
        <w:tc>
          <w:tcPr>
            <w:tcW w:type="dxa" w:w="15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$170,000</w:t>
            </w:r>
          </w:p>
        </w:tc>
        <w:tc>
          <w:tcPr>
            <w:tcW w:type="dxa" w:w="15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$50,000</w:t>
            </w:r>
          </w:p>
        </w:tc>
        <w:tc>
          <w:tcPr>
            <w:tcW w:type="dxa" w:w="15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$500,000</w:t>
            </w:r>
          </w:p>
        </w:tc>
      </w:tr>
      <w:tr>
        <w:tc>
          <w:tcPr>
            <w:tcW w:type="dxa" w:w="15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Tooling and licenses</w:t>
            </w:r>
          </w:p>
        </w:tc>
        <w:tc>
          <w:tcPr>
            <w:tcW w:type="dxa" w:w="15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$25,000</w:t>
            </w:r>
          </w:p>
        </w:tc>
        <w:tc>
          <w:tcPr>
            <w:tcW w:type="dxa" w:w="15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$150,000</w:t>
            </w:r>
          </w:p>
        </w:tc>
        <w:tc>
          <w:tcPr>
            <w:tcW w:type="dxa" w:w="15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$250,000</w:t>
            </w:r>
          </w:p>
        </w:tc>
        <w:tc>
          <w:tcPr>
            <w:tcW w:type="dxa" w:w="15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$50,000</w:t>
            </w:r>
          </w:p>
        </w:tc>
        <w:tc>
          <w:tcPr>
            <w:tcW w:type="dxa" w:w="15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$475,000</w:t>
            </w:r>
          </w:p>
        </w:tc>
      </w:tr>
      <w:tr>
        <w:tc>
          <w:tcPr>
            <w:tcW w:type="dxa" w:w="15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Customer outreach</w:t>
            </w:r>
          </w:p>
        </w:tc>
        <w:tc>
          <w:tcPr>
            <w:tcW w:type="dxa" w:w="15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$5,000</w:t>
            </w:r>
          </w:p>
        </w:tc>
        <w:tc>
          <w:tcPr>
            <w:tcW w:type="dxa" w:w="15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$30,000</w:t>
            </w:r>
          </w:p>
        </w:tc>
        <w:tc>
          <w:tcPr>
            <w:tcW w:type="dxa" w:w="15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$120,000</w:t>
            </w:r>
          </w:p>
        </w:tc>
        <w:tc>
          <w:tcPr>
            <w:tcW w:type="dxa" w:w="15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$30,000</w:t>
            </w:r>
          </w:p>
        </w:tc>
        <w:tc>
          <w:tcPr>
            <w:tcW w:type="dxa" w:w="15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$185,000</w:t>
            </w:r>
          </w:p>
        </w:tc>
      </w:tr>
      <w:tr>
        <w:tc>
          <w:tcPr>
            <w:tcW w:type="dxa" w:w="15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Reserve / contingency</w:t>
            </w:r>
          </w:p>
        </w:tc>
        <w:tc>
          <w:tcPr>
            <w:tcW w:type="dxa" w:w="15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$10,000</w:t>
            </w:r>
          </w:p>
        </w:tc>
        <w:tc>
          <w:tcPr>
            <w:tcW w:type="dxa" w:w="15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$120,000</w:t>
            </w:r>
          </w:p>
        </w:tc>
        <w:tc>
          <w:tcPr>
            <w:tcW w:type="dxa" w:w="15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$90,000</w:t>
            </w:r>
          </w:p>
        </w:tc>
        <w:tc>
          <w:tcPr>
            <w:tcW w:type="dxa" w:w="15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$70,000</w:t>
            </w:r>
          </w:p>
        </w:tc>
        <w:tc>
          <w:tcPr>
            <w:tcW w:type="dxa" w:w="15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$290,000</w:t>
            </w:r>
          </w:p>
        </w:tc>
      </w:tr>
      <w:tr>
        <w:tc>
          <w:tcPr>
            <w:tcW w:type="dxa" w:w="15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Total</w:t>
            </w:r>
          </w:p>
        </w:tc>
        <w:tc>
          <w:tcPr>
            <w:tcW w:type="dxa" w:w="15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$320,000</w:t>
            </w:r>
          </w:p>
        </w:tc>
        <w:tc>
          <w:tcPr>
            <w:tcW w:type="dxa" w:w="15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$1,450,000</w:t>
            </w:r>
          </w:p>
        </w:tc>
        <w:tc>
          <w:tcPr>
            <w:tcW w:type="dxa" w:w="15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$1,830,000</w:t>
            </w:r>
          </w:p>
        </w:tc>
        <w:tc>
          <w:tcPr>
            <w:tcW w:type="dxa" w:w="15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$600,000</w:t>
            </w:r>
          </w:p>
        </w:tc>
        <w:tc>
          <w:tcPr>
            <w:tcW w:type="dxa" w:w="15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$4,200,000</w:t>
            </w:r>
          </w:p>
        </w:tc>
      </w:tr>
    </w:tbl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Total program budget: $4,200,000 USD, fully approved by the Board on May 14, 2026, with quarterly reviews and a hard cap of 8% overrun before re-approval is required.</w:t>
      </w:r>
    </w:p>
    <w:p>
      <w:r>
        <w:br w:type="page"/>
      </w:r>
    </w:p>
    <w:p>
      <w:pPr>
        <w:pStyle w:val="Heading1"/>
      </w:pPr>
      <w:r>
        <w:t xml:space="preserve">8. Timeline Milestones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3864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Milestone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3864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Target Date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3864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Owner</w:t>
            </w:r>
          </w:p>
        </w:tc>
      </w:tr>
      <w:tr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Phase 1 kickoff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July 15, 2026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Dr. Subramanian</w:t>
            </w:r>
          </w:p>
        </w:tc>
      </w:tr>
      <w:tr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Cryptographic inventory complete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August 31, 2026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Platform Security</w:t>
            </w:r>
          </w:p>
        </w:tc>
      </w:tr>
      <w:tr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First internal service on hybrid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September 21, 2026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Cloud Infra</w:t>
            </w:r>
          </w:p>
        </w:tc>
      </w:tr>
      <w:tr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50% of internal services migrated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November 7, 2026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Platform Security</w:t>
            </w:r>
          </w:p>
        </w:tc>
      </w:tr>
      <w:tr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All internal services migrated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December 19, 2026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Platform Security</w:t>
            </w:r>
          </w:p>
        </w:tc>
      </w:tr>
      <w:tr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Customer beta program opens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January 12, 2027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Customer Success</w:t>
            </w:r>
          </w:p>
        </w:tc>
      </w:tr>
      <w:tr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50% of customer APIs on PQC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February 28, 2027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Cloud Infra</w:t>
            </w:r>
          </w:p>
        </w:tc>
      </w:tr>
      <w:tr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All customer APIs on PQC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April 17, 2027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Cloud Infra</w:t>
            </w:r>
          </w:p>
        </w:tc>
      </w:tr>
      <w:tr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Classical algorithms decommissioned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June 30, 2027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Platform Security</w:t>
            </w:r>
          </w:p>
        </w:tc>
      </w:tr>
      <w:tr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Final external audit report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August 15, 2027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Trail of Bits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Affected Systems Summary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This migration touches a total of 59 systems. They break down as:</w:t>
      </w:r>
    </w:p>
    <w:p>
      <w:pPr>
        <w:pStyle w:val="ListParagraph"/>
        <w:numPr>
          <w:ilvl w:val="0"/>
          <w:numId w:val="2"/>
        </w:numPr>
      </w:pPr>
      <w:r>
        <w:t xml:space="preserve">47 internal services (authentication, billing, messaging, observability, dashboards, etc.)</w:t>
      </w:r>
    </w:p>
    <w:p>
      <w:pPr>
        <w:pStyle w:val="ListParagraph"/>
        <w:numPr>
          <w:ilvl w:val="0"/>
          <w:numId w:val="2"/>
        </w:numPr>
      </w:pPr>
      <w:r>
        <w:t xml:space="preserve">12 customer-facing APIs (REST APIs at api.example.com, GraphQL at graph.example.com)</w:t>
      </w:r>
    </w:p>
    <w:p>
      <w:pPr>
        <w:pStyle w:val="Heading2"/>
      </w:pPr>
      <w:r>
        <w:t xml:space="preserve">9.1 Internal Service Categories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3864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Tier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3864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3864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Count</w:t>
            </w:r>
          </w:p>
        </w:tc>
      </w:tr>
      <w:tr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Tier 1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Authentication, identity, billing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8</w:t>
            </w:r>
          </w:p>
        </w:tc>
      </w:tr>
      <w:tr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Tier 2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Order management, customer messaging, audit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17</w:t>
            </w:r>
          </w:p>
        </w:tc>
      </w:tr>
      <w:tr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Tier 3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Internal dashboards, reporting, analytics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14</w:t>
            </w:r>
          </w:p>
        </w:tc>
      </w:tr>
      <w:tr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Tier 4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Development and test environments</w:t>
            </w:r>
          </w:p>
        </w:tc>
        <w:tc>
          <w:tcPr>
            <w:tcW w:type="dxa" w:w="312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8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10. Plan Acceptance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This plan, dated May 28, 2026, supersedes the discussion draft circulated in February 2026. Material changes from the draft include: budget increased from $3.8M to $4.2M, primary lead changed from CTO to Dr. Priya Subramanian, and the customer-facing migration window extended by 30 days.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Approvals: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Principal Cryptographer: Dr. Priya Subramanian  •  Approved 2026-05-28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CTO: Janice Akabu  •  Approved 2026-05-28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CISO: Robert Tatum  •  Approved 2026-05-28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Board of Directors  •  Approved 2026-05-14 (budget); ratification 2026-06-04 (full plan)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Calibri" w:cs="Calibri" w:eastAsia="Calibri" w:hAnsi="Calibri"/>
      <w:b/>
      <w:bCs/>
      <w:color w:val="2E74B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2026-05-20T23:37:22.210Z</dcterms:created>
  <dcterms:modified xsi:type="dcterms:W3CDTF">2026-05-20T23:37:22.210Z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