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Eldoria Logistics — Q1 2026 Operations Report</w:t>
      </w:r>
    </w:p>
    <w:p>
      <w:r>
        <w:t>Prepared by COO Office, April 18, 2026. Distribution: Executive team + Board. All values in USD unless noted.</w:t>
      </w:r>
    </w:p>
    <w:p>
      <w:pPr>
        <w:pStyle w:val="Heading1"/>
      </w:pPr>
      <w:r>
        <w:t>1. Hub Throughput (parcels / day)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Hub</w:t>
            </w:r>
          </w:p>
        </w:tc>
        <w:tc>
          <w:tcPr>
            <w:tcW w:type="dxa" w:w="1728"/>
          </w:tcPr>
          <w:p>
            <w:r>
              <w:t>Jan 2026</w:t>
            </w:r>
          </w:p>
        </w:tc>
        <w:tc>
          <w:tcPr>
            <w:tcW w:type="dxa" w:w="1728"/>
          </w:tcPr>
          <w:p>
            <w:r>
              <w:t>Feb 2026</w:t>
            </w:r>
          </w:p>
        </w:tc>
        <w:tc>
          <w:tcPr>
            <w:tcW w:type="dxa" w:w="1728"/>
          </w:tcPr>
          <w:p>
            <w:r>
              <w:t>Mar 2026</w:t>
            </w:r>
          </w:p>
        </w:tc>
        <w:tc>
          <w:tcPr>
            <w:tcW w:type="dxa" w:w="1728"/>
          </w:tcPr>
          <w:p>
            <w:r>
              <w:t>Q1 avg</w:t>
            </w:r>
          </w:p>
        </w:tc>
      </w:tr>
      <w:tr>
        <w:tc>
          <w:tcPr>
            <w:tcW w:type="dxa" w:w="1728"/>
          </w:tcPr>
          <w:p>
            <w:r>
              <w:t>Memphis</w:t>
            </w:r>
          </w:p>
        </w:tc>
        <w:tc>
          <w:tcPr>
            <w:tcW w:type="dxa" w:w="1728"/>
          </w:tcPr>
          <w:p>
            <w:r>
              <w:t>48200</w:t>
            </w:r>
          </w:p>
        </w:tc>
        <w:tc>
          <w:tcPr>
            <w:tcW w:type="dxa" w:w="1728"/>
          </w:tcPr>
          <w:p>
            <w:r>
              <w:t>47800</w:t>
            </w:r>
          </w:p>
        </w:tc>
        <w:tc>
          <w:tcPr>
            <w:tcW w:type="dxa" w:w="1728"/>
          </w:tcPr>
          <w:p>
            <w:r>
              <w:t>51300</w:t>
            </w:r>
          </w:p>
        </w:tc>
        <w:tc>
          <w:tcPr>
            <w:tcW w:type="dxa" w:w="1728"/>
          </w:tcPr>
          <w:p>
            <w:r>
              <w:t>49100</w:t>
            </w:r>
          </w:p>
        </w:tc>
      </w:tr>
      <w:tr>
        <w:tc>
          <w:tcPr>
            <w:tcW w:type="dxa" w:w="1728"/>
          </w:tcPr>
          <w:p>
            <w:r>
              <w:t>Louisville</w:t>
            </w:r>
          </w:p>
        </w:tc>
        <w:tc>
          <w:tcPr>
            <w:tcW w:type="dxa" w:w="1728"/>
          </w:tcPr>
          <w:p>
            <w:r>
              <w:t>31500</w:t>
            </w:r>
          </w:p>
        </w:tc>
        <w:tc>
          <w:tcPr>
            <w:tcW w:type="dxa" w:w="1728"/>
          </w:tcPr>
          <w:p>
            <w:r>
              <w:t>32100</w:t>
            </w:r>
          </w:p>
        </w:tc>
        <w:tc>
          <w:tcPr>
            <w:tcW w:type="dxa" w:w="1728"/>
          </w:tcPr>
          <w:p>
            <w:r>
              <w:t>34200</w:t>
            </w:r>
          </w:p>
        </w:tc>
        <w:tc>
          <w:tcPr>
            <w:tcW w:type="dxa" w:w="1728"/>
          </w:tcPr>
          <w:p>
            <w:r>
              <w:t>32600</w:t>
            </w:r>
          </w:p>
        </w:tc>
      </w:tr>
      <w:tr>
        <w:tc>
          <w:tcPr>
            <w:tcW w:type="dxa" w:w="1728"/>
          </w:tcPr>
          <w:p>
            <w:r>
              <w:t>Cologne</w:t>
            </w:r>
          </w:p>
        </w:tc>
        <w:tc>
          <w:tcPr>
            <w:tcW w:type="dxa" w:w="1728"/>
          </w:tcPr>
          <w:p>
            <w:r>
              <w:t>28900</w:t>
            </w:r>
          </w:p>
        </w:tc>
        <w:tc>
          <w:tcPr>
            <w:tcW w:type="dxa" w:w="1728"/>
          </w:tcPr>
          <w:p>
            <w:r>
              <w:t>29400</w:t>
            </w:r>
          </w:p>
        </w:tc>
        <w:tc>
          <w:tcPr>
            <w:tcW w:type="dxa" w:w="1728"/>
          </w:tcPr>
          <w:p>
            <w:r>
              <w:t>30100</w:t>
            </w:r>
          </w:p>
        </w:tc>
        <w:tc>
          <w:tcPr>
            <w:tcW w:type="dxa" w:w="1728"/>
          </w:tcPr>
          <w:p>
            <w:r>
              <w:t>29467</w:t>
            </w:r>
          </w:p>
        </w:tc>
      </w:tr>
      <w:tr>
        <w:tc>
          <w:tcPr>
            <w:tcW w:type="dxa" w:w="1728"/>
          </w:tcPr>
          <w:p>
            <w:r>
              <w:t>Rotterdam</w:t>
            </w:r>
          </w:p>
        </w:tc>
        <w:tc>
          <w:tcPr>
            <w:tcW w:type="dxa" w:w="1728"/>
          </w:tcPr>
          <w:p>
            <w:r>
              <w:t>22100</w:t>
            </w:r>
          </w:p>
        </w:tc>
        <w:tc>
          <w:tcPr>
            <w:tcW w:type="dxa" w:w="1728"/>
          </w:tcPr>
          <w:p>
            <w:r>
              <w:t>22500</w:t>
            </w:r>
          </w:p>
        </w:tc>
        <w:tc>
          <w:tcPr>
            <w:tcW w:type="dxa" w:w="1728"/>
          </w:tcPr>
          <w:p>
            <w:r>
              <w:t>23800</w:t>
            </w:r>
          </w:p>
        </w:tc>
        <w:tc>
          <w:tcPr>
            <w:tcW w:type="dxa" w:w="1728"/>
          </w:tcPr>
          <w:p>
            <w:r>
              <w:t>22800</w:t>
            </w:r>
          </w:p>
        </w:tc>
      </w:tr>
      <w:tr>
        <w:tc>
          <w:tcPr>
            <w:tcW w:type="dxa" w:w="1728"/>
          </w:tcPr>
          <w:p>
            <w:r>
              <w:t>Singapore</w:t>
            </w:r>
          </w:p>
        </w:tc>
        <w:tc>
          <w:tcPr>
            <w:tcW w:type="dxa" w:w="1728"/>
          </w:tcPr>
          <w:p>
            <w:r>
              <w:t>19400</w:t>
            </w:r>
          </w:p>
        </w:tc>
        <w:tc>
          <w:tcPr>
            <w:tcW w:type="dxa" w:w="1728"/>
          </w:tcPr>
          <w:p>
            <w:r>
              <w:t>20200</w:t>
            </w:r>
          </w:p>
        </w:tc>
        <w:tc>
          <w:tcPr>
            <w:tcW w:type="dxa" w:w="1728"/>
          </w:tcPr>
          <w:p>
            <w:r>
              <w:t>21800</w:t>
            </w:r>
          </w:p>
        </w:tc>
        <w:tc>
          <w:tcPr>
            <w:tcW w:type="dxa" w:w="1728"/>
          </w:tcPr>
          <w:p>
            <w:r>
              <w:t>20467</w:t>
            </w:r>
          </w:p>
        </w:tc>
      </w:tr>
      <w:tr>
        <w:tc>
          <w:tcPr>
            <w:tcW w:type="dxa" w:w="1728"/>
          </w:tcPr>
          <w:p>
            <w:r>
              <w:t>Dubai</w:t>
            </w:r>
          </w:p>
        </w:tc>
        <w:tc>
          <w:tcPr>
            <w:tcW w:type="dxa" w:w="1728"/>
          </w:tcPr>
          <w:p>
            <w:r>
              <w:t>12800</w:t>
            </w:r>
          </w:p>
        </w:tc>
        <w:tc>
          <w:tcPr>
            <w:tcW w:type="dxa" w:w="1728"/>
          </w:tcPr>
          <w:p>
            <w:r>
              <w:t>13400</w:t>
            </w:r>
          </w:p>
        </w:tc>
        <w:tc>
          <w:tcPr>
            <w:tcW w:type="dxa" w:w="1728"/>
          </w:tcPr>
          <w:p>
            <w:r>
              <w:t>14900</w:t>
            </w:r>
          </w:p>
        </w:tc>
        <w:tc>
          <w:tcPr>
            <w:tcW w:type="dxa" w:w="1728"/>
          </w:tcPr>
          <w:p>
            <w:r>
              <w:t>13700</w:t>
            </w:r>
          </w:p>
        </w:tc>
      </w:tr>
    </w:tbl>
    <w:p>
      <w:pPr>
        <w:pStyle w:val="Heading1"/>
      </w:pPr>
      <w:r>
        <w:t>2. On-Time Delivery Rate by Service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Target SLA</w:t>
            </w:r>
          </w:p>
        </w:tc>
        <w:tc>
          <w:tcPr>
            <w:tcW w:type="dxa" w:w="2160"/>
          </w:tcPr>
          <w:p>
            <w:r>
              <w:t>Q1 actual</w:t>
            </w:r>
          </w:p>
        </w:tc>
        <w:tc>
          <w:tcPr>
            <w:tcW w:type="dxa" w:w="2160"/>
          </w:tcPr>
          <w:p>
            <w:r>
              <w:t>Variance</w:t>
            </w:r>
          </w:p>
        </w:tc>
      </w:tr>
      <w:tr>
        <w:tc>
          <w:tcPr>
            <w:tcW w:type="dxa" w:w="2160"/>
          </w:tcPr>
          <w:p>
            <w:r>
              <w:t>Priority overnight</w:t>
            </w:r>
          </w:p>
        </w:tc>
        <w:tc>
          <w:tcPr>
            <w:tcW w:type="dxa" w:w="2160"/>
          </w:tcPr>
          <w:p>
            <w:r>
              <w:t>99.0%</w:t>
            </w:r>
          </w:p>
        </w:tc>
        <w:tc>
          <w:tcPr>
            <w:tcW w:type="dxa" w:w="2160"/>
          </w:tcPr>
          <w:p>
            <w:r>
              <w:t>98.6%</w:t>
            </w:r>
          </w:p>
        </w:tc>
        <w:tc>
          <w:tcPr>
            <w:tcW w:type="dxa" w:w="2160"/>
          </w:tcPr>
          <w:p>
            <w:r>
              <w:t>-0.4 pp</w:t>
            </w:r>
          </w:p>
        </w:tc>
      </w:tr>
      <w:tr>
        <w:tc>
          <w:tcPr>
            <w:tcW w:type="dxa" w:w="2160"/>
          </w:tcPr>
          <w:p>
            <w:r>
              <w:t>Express 2-day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  <w:tc>
          <w:tcPr>
            <w:tcW w:type="dxa" w:w="2160"/>
          </w:tcPr>
          <w:p>
            <w:r>
              <w:t>97.9%</w:t>
            </w:r>
          </w:p>
        </w:tc>
        <w:tc>
          <w:tcPr>
            <w:tcW w:type="dxa" w:w="2160"/>
          </w:tcPr>
          <w:p>
            <w:r>
              <w:t>+0.4 pp</w:t>
            </w:r>
          </w:p>
        </w:tc>
      </w:tr>
      <w:tr>
        <w:tc>
          <w:tcPr>
            <w:tcW w:type="dxa" w:w="2160"/>
          </w:tcPr>
          <w:p>
            <w:r>
              <w:t>Standard 4-day</w:t>
            </w:r>
          </w:p>
        </w:tc>
        <w:tc>
          <w:tcPr>
            <w:tcW w:type="dxa" w:w="2160"/>
          </w:tcPr>
          <w:p>
            <w:r>
              <w:t>95.0%</w:t>
            </w:r>
          </w:p>
        </w:tc>
        <w:tc>
          <w:tcPr>
            <w:tcW w:type="dxa" w:w="2160"/>
          </w:tcPr>
          <w:p>
            <w:r>
              <w:t>96.2%</w:t>
            </w:r>
          </w:p>
        </w:tc>
        <w:tc>
          <w:tcPr>
            <w:tcW w:type="dxa" w:w="2160"/>
          </w:tcPr>
          <w:p>
            <w:r>
              <w:t>+1.2 pp</w:t>
            </w:r>
          </w:p>
        </w:tc>
      </w:tr>
      <w:tr>
        <w:tc>
          <w:tcPr>
            <w:tcW w:type="dxa" w:w="2160"/>
          </w:tcPr>
          <w:p>
            <w:r>
              <w:t>Economy 7-day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  <w:tc>
          <w:tcPr>
            <w:tcW w:type="dxa" w:w="2160"/>
          </w:tcPr>
          <w:p>
            <w:r>
              <w:t>93.5%</w:t>
            </w:r>
          </w:p>
        </w:tc>
        <w:tc>
          <w:tcPr>
            <w:tcW w:type="dxa" w:w="2160"/>
          </w:tcPr>
          <w:p>
            <w:r>
              <w:t>+1.5 pp</w:t>
            </w:r>
          </w:p>
        </w:tc>
      </w:tr>
    </w:tbl>
    <w:p>
      <w:pPr>
        <w:pStyle w:val="Heading1"/>
      </w:pPr>
      <w:r>
        <w:t>3. Top 10 Lanes by Revenue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Q1 revenue ($K)</w:t>
            </w:r>
          </w:p>
        </w:tc>
        <w:tc>
          <w:tcPr>
            <w:tcW w:type="dxa" w:w="1728"/>
          </w:tcPr>
          <w:p>
            <w:r>
              <w:t>Parcels (K)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Memphis</w:t>
            </w:r>
          </w:p>
        </w:tc>
        <w:tc>
          <w:tcPr>
            <w:tcW w:type="dxa" w:w="1728"/>
          </w:tcPr>
          <w:p>
            <w:r>
              <w:t>Atlanta</w:t>
            </w:r>
          </w:p>
        </w:tc>
        <w:tc>
          <w:tcPr>
            <w:tcW w:type="dxa" w:w="1728"/>
          </w:tcPr>
          <w:p>
            <w:r>
              <w:t>2840</w:t>
            </w:r>
          </w:p>
        </w:tc>
        <w:tc>
          <w:tcPr>
            <w:tcW w:type="dxa" w:w="1728"/>
          </w:tcPr>
          <w:p>
            <w:r>
              <w:t>1240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Memphis</w:t>
            </w:r>
          </w:p>
        </w:tc>
        <w:tc>
          <w:tcPr>
            <w:tcW w:type="dxa" w:w="1728"/>
          </w:tcPr>
          <w:p>
            <w:r>
              <w:t>Dallas</w:t>
            </w:r>
          </w:p>
        </w:tc>
        <w:tc>
          <w:tcPr>
            <w:tcW w:type="dxa" w:w="1728"/>
          </w:tcPr>
          <w:p>
            <w:r>
              <w:t>2210</w:t>
            </w:r>
          </w:p>
        </w:tc>
        <w:tc>
          <w:tcPr>
            <w:tcW w:type="dxa" w:w="1728"/>
          </w:tcPr>
          <w:p>
            <w:r>
              <w:t>985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Louisville</w:t>
            </w:r>
          </w:p>
        </w:tc>
        <w:tc>
          <w:tcPr>
            <w:tcW w:type="dxa" w:w="1728"/>
          </w:tcPr>
          <w:p>
            <w:r>
              <w:t>Chicago</w:t>
            </w:r>
          </w:p>
        </w:tc>
        <w:tc>
          <w:tcPr>
            <w:tcW w:type="dxa" w:w="1728"/>
          </w:tcPr>
          <w:p>
            <w:r>
              <w:t>2105</w:t>
            </w:r>
          </w:p>
        </w:tc>
        <w:tc>
          <w:tcPr>
            <w:tcW w:type="dxa" w:w="1728"/>
          </w:tcPr>
          <w:p>
            <w:r>
              <w:t>890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Cologne</w:t>
            </w:r>
          </w:p>
        </w:tc>
        <w:tc>
          <w:tcPr>
            <w:tcW w:type="dxa" w:w="1728"/>
          </w:tcPr>
          <w:p>
            <w:r>
              <w:t>Berlin</w:t>
            </w:r>
          </w:p>
        </w:tc>
        <w:tc>
          <w:tcPr>
            <w:tcW w:type="dxa" w:w="1728"/>
          </w:tcPr>
          <w:p>
            <w:r>
              <w:t>1980</w:t>
            </w:r>
          </w:p>
        </w:tc>
        <w:tc>
          <w:tcPr>
            <w:tcW w:type="dxa" w:w="1728"/>
          </w:tcPr>
          <w:p>
            <w:r>
              <w:t>810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Memphis</w:t>
            </w:r>
          </w:p>
        </w:tc>
        <w:tc>
          <w:tcPr>
            <w:tcW w:type="dxa" w:w="1728"/>
          </w:tcPr>
          <w:p>
            <w:r>
              <w:t>Miami</w:t>
            </w:r>
          </w:p>
        </w:tc>
        <w:tc>
          <w:tcPr>
            <w:tcW w:type="dxa" w:w="1728"/>
          </w:tcPr>
          <w:p>
            <w:r>
              <w:t>1810</w:t>
            </w:r>
          </w:p>
        </w:tc>
        <w:tc>
          <w:tcPr>
            <w:tcW w:type="dxa" w:w="1728"/>
          </w:tcPr>
          <w:p>
            <w:r>
              <w:t>720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Cologne</w:t>
            </w:r>
          </w:p>
        </w:tc>
        <w:tc>
          <w:tcPr>
            <w:tcW w:type="dxa" w:w="1728"/>
          </w:tcPr>
          <w:p>
            <w:r>
              <w:t>Paris</w:t>
            </w:r>
          </w:p>
        </w:tc>
        <w:tc>
          <w:tcPr>
            <w:tcW w:type="dxa" w:w="1728"/>
          </w:tcPr>
          <w:p>
            <w:r>
              <w:t>1620</w:t>
            </w:r>
          </w:p>
        </w:tc>
        <w:tc>
          <w:tcPr>
            <w:tcW w:type="dxa" w:w="1728"/>
          </w:tcPr>
          <w:p>
            <w:r>
              <w:t>640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Rotterdam</w:t>
            </w:r>
          </w:p>
        </w:tc>
        <w:tc>
          <w:tcPr>
            <w:tcW w:type="dxa" w:w="1728"/>
          </w:tcPr>
          <w:p>
            <w:r>
              <w:t>Amsterdam</w:t>
            </w:r>
          </w:p>
        </w:tc>
        <w:tc>
          <w:tcPr>
            <w:tcW w:type="dxa" w:w="1728"/>
          </w:tcPr>
          <w:p>
            <w:r>
              <w:t>1480</w:t>
            </w:r>
          </w:p>
        </w:tc>
        <w:tc>
          <w:tcPr>
            <w:tcW w:type="dxa" w:w="1728"/>
          </w:tcPr>
          <w:p>
            <w:r>
              <w:t>595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Singapore</w:t>
            </w:r>
          </w:p>
        </w:tc>
        <w:tc>
          <w:tcPr>
            <w:tcW w:type="dxa" w:w="1728"/>
          </w:tcPr>
          <w:p>
            <w:r>
              <w:t>Kuala Lumpur</w:t>
            </w:r>
          </w:p>
        </w:tc>
        <w:tc>
          <w:tcPr>
            <w:tcW w:type="dxa" w:w="1728"/>
          </w:tcPr>
          <w:p>
            <w:r>
              <w:t>1310</w:t>
            </w:r>
          </w:p>
        </w:tc>
        <w:tc>
          <w:tcPr>
            <w:tcW w:type="dxa" w:w="1728"/>
          </w:tcPr>
          <w:p>
            <w:r>
              <w:t>528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Louisville</w:t>
            </w:r>
          </w:p>
        </w:tc>
        <w:tc>
          <w:tcPr>
            <w:tcW w:type="dxa" w:w="1728"/>
          </w:tcPr>
          <w:p>
            <w:r>
              <w:t>Indianapolis</w:t>
            </w:r>
          </w:p>
        </w:tc>
        <w:tc>
          <w:tcPr>
            <w:tcW w:type="dxa" w:w="1728"/>
          </w:tcPr>
          <w:p>
            <w:r>
              <w:t>1185</w:t>
            </w:r>
          </w:p>
        </w:tc>
        <w:tc>
          <w:tcPr>
            <w:tcW w:type="dxa" w:w="1728"/>
          </w:tcPr>
          <w:p>
            <w:r>
              <w:t>475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Dubai</w:t>
            </w:r>
          </w:p>
        </w:tc>
        <w:tc>
          <w:tcPr>
            <w:tcW w:type="dxa" w:w="1728"/>
          </w:tcPr>
          <w:p>
            <w:r>
              <w:t>Riyadh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390</w:t>
            </w:r>
          </w:p>
        </w:tc>
      </w:tr>
    </w:tbl>
    <w:p>
      <w:pPr>
        <w:pStyle w:val="Heading1"/>
      </w:pPr>
      <w:r>
        <w:t>4. Damage &amp; Loss Claims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Hub</w:t>
            </w:r>
          </w:p>
        </w:tc>
        <w:tc>
          <w:tcPr>
            <w:tcW w:type="dxa" w:w="2160"/>
          </w:tcPr>
          <w:p>
            <w:r>
              <w:t>Claims filed</w:t>
            </w:r>
          </w:p>
        </w:tc>
        <w:tc>
          <w:tcPr>
            <w:tcW w:type="dxa" w:w="2160"/>
          </w:tcPr>
          <w:p>
            <w:r>
              <w:t>Avg claim ($)</w:t>
            </w:r>
          </w:p>
        </w:tc>
        <w:tc>
          <w:tcPr>
            <w:tcW w:type="dxa" w:w="2160"/>
          </w:tcPr>
          <w:p>
            <w:r>
              <w:t>Total paid ($K)</w:t>
            </w:r>
          </w:p>
        </w:tc>
      </w:tr>
      <w:tr>
        <w:tc>
          <w:tcPr>
            <w:tcW w:type="dxa" w:w="2160"/>
          </w:tcPr>
          <w:p>
            <w:r>
              <w:t>Memphis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77.0</w:t>
            </w:r>
          </w:p>
        </w:tc>
      </w:tr>
      <w:tr>
        <w:tc>
          <w:tcPr>
            <w:tcW w:type="dxa" w:w="2160"/>
          </w:tcPr>
          <w:p>
            <w:r>
              <w:t>Louisville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32.1</w:t>
            </w:r>
          </w:p>
        </w:tc>
      </w:tr>
      <w:tr>
        <w:tc>
          <w:tcPr>
            <w:tcW w:type="dxa" w:w="2160"/>
          </w:tcPr>
          <w:p>
            <w:r>
              <w:t>Cologne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Rotterdam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</w:tr>
      <w:tr>
        <w:tc>
          <w:tcPr>
            <w:tcW w:type="dxa" w:w="2160"/>
          </w:tcPr>
          <w:p>
            <w:r>
              <w:t>Singapore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Dubai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9.7</w:t>
            </w:r>
          </w:p>
        </w:tc>
      </w:tr>
    </w:tbl>
    <w:p>
      <w:pPr>
        <w:pStyle w:val="Heading1"/>
      </w:pPr>
      <w:r>
        <w:t>5. Anchor Facts</w:t>
      </w:r>
    </w:p>
    <w:p>
      <w:r>
        <w:rPr>
          <w:i/>
        </w:rPr>
        <w:t>Memphis was Q1's highest-throughput hub at 49,100 parcels/day. Priority Overnight was the only service tier to miss its SLA (98.6% vs 99.0%, -0.4 pp). The Memphis→Atlanta lane generated $2,840K in Q1, our top revenue lane. Cologne paid the highest average damage claim at $215 per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