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Hyperion Logistics Network — Technical Reference (v4.2)</w:t>
      </w:r>
    </w:p>
    <w:p>
      <w:r>
        <w:t>April 2026 release. This reference describes the architecture, operation and governance of the Hyperion Logistics Network (HLN). Maintainer: Platform Engineering, lead: Mei-Ling Park.</w:t>
      </w:r>
    </w:p>
    <w:p>
      <w:pPr>
        <w:pStyle w:val="Heading1"/>
      </w:pPr>
      <w:r>
        <w:t>Table of Contents</w:t>
      </w:r>
    </w:p>
    <w:p>
      <w:r>
        <w:t>1. Introduction ........ 3</w:t>
      </w:r>
    </w:p>
    <w:p>
      <w:r>
        <w:t>2. Network Topology ........ 5</w:t>
      </w:r>
    </w:p>
    <w:p>
      <w:r>
        <w:t>3. Routing Subsystem ........ 9</w:t>
      </w:r>
    </w:p>
    <w:p>
      <w:r>
        <w:t>4. Identity &amp; Access ........ 14</w:t>
      </w:r>
    </w:p>
    <w:p>
      <w:r>
        <w:t>5. Data Plane ........ 18</w:t>
      </w:r>
    </w:p>
    <w:p>
      <w:r>
        <w:t>6. Control Plane ........ 22</w:t>
      </w:r>
    </w:p>
    <w:p>
      <w:r>
        <w:t>7. Observability ........ 26</w:t>
      </w:r>
    </w:p>
    <w:p>
      <w:r>
        <w:t>8. Disaster Recovery ........ 30</w:t>
      </w:r>
    </w:p>
    <w:p>
      <w:r>
        <w:t>9. Glossary ........ 33</w:t>
      </w:r>
    </w:p>
    <w:p>
      <w:r>
        <w:t>10. Anchor Fingerprint Facts ........ 35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Hyperion Logistics Network is a multi-region, multi-tenant fleet routing platform deployed across AWS and GCP. It is designed for high-throughput dispatch (peak 28,000 events/sec) with sub-second routing decisions.</w:t>
      </w:r>
    </w:p>
    <w:p>
      <w:r>
        <w:br w:type="page"/>
      </w:r>
    </w:p>
    <w:p>
      <w:pPr>
        <w:pStyle w:val="Heading1"/>
      </w:pPr>
      <w:r>
        <w:t>2. Network Topology</w:t>
      </w:r>
    </w:p>
    <w:p>
      <w:r>
        <w:t>HLN is built around 3 primary regions: us-east-1, eu-central-1, and ap-southeast-2. Each region has 4 availability zones with asymmetric capacity. Cross-region traffic uses dedicated peering.</w:t>
      </w:r>
    </w:p>
    <w:p>
      <w:r>
        <w:br w:type="page"/>
      </w:r>
    </w:p>
    <w:p>
      <w:pPr>
        <w:pStyle w:val="Heading1"/>
      </w:pPr>
      <w:r>
        <w:t>3. Routing Subsystem</w:t>
      </w:r>
    </w:p>
    <w:p>
      <w:r>
        <w:t>The routing layer is implemented as a Rust service named router-core, deployed as a stateless Kubernetes Deployment with HPA min=12 pods/region. Latency p95 = 84 ms end-to-end.</w:t>
      </w:r>
    </w:p>
    <w:p>
      <w:r>
        <w:t>The routing subsystem follows the design described in the internal RFC 'RFC-HLN-031'</w:t>
      </w:r>
      <w:r>
        <w:rPr>
          <w:vertAlign w:val="superscript"/>
        </w:rPr>
        <w:t>[fn1]</w:t>
      </w:r>
      <w:r>
        <w:t>. This RFC was authored by Mei-Ling Park and approved on October 18, 2025.</w:t>
      </w:r>
    </w:p>
    <w:p>
      <w:r>
        <w:br w:type="page"/>
      </w:r>
    </w:p>
    <w:p>
      <w:pPr>
        <w:pStyle w:val="Heading1"/>
      </w:pPr>
      <w:r>
        <w:t>4. Identity &amp; Access</w:t>
      </w:r>
    </w:p>
    <w:p>
      <w:r>
        <w:t>Authentication uses OIDC against Okta. Authorization is policy-as-code in OPA/Rego, distributed via a sidecar pattern. Service-to-service uses SPIFFE/SPIRE-issued mTLS certificates rotated every 12 hours.</w:t>
      </w:r>
    </w:p>
    <w:p>
      <w:r>
        <w:br w:type="page"/>
      </w:r>
    </w:p>
    <w:p>
      <w:pPr>
        <w:pStyle w:val="Heading1"/>
      </w:pPr>
      <w:r>
        <w:t>5. Data Plane</w:t>
      </w:r>
    </w:p>
    <w:p>
      <w:r>
        <w:t>The data plane consists of Apache Kafka clusters (6 brokers/region) and PostgreSQL 16 with Patroni HA. Event retention is 7 days. Total storage footprint as of April 2026 is 184 TB.</w:t>
      </w:r>
    </w:p>
    <w:p>
      <w:r>
        <w:br w:type="page"/>
      </w:r>
    </w:p>
    <w:p>
      <w:pPr>
        <w:pStyle w:val="Heading1"/>
      </w:pPr>
      <w:r>
        <w:t>6. Control Plane</w:t>
      </w:r>
    </w:p>
    <w:p>
      <w:r>
        <w:t>The control plane is a Go service named hln-ctrl deployed in a single region (us-east-1) with hot standby in eu-central-1. All configuration changes flow through a GitOps pipeline gated by an automated policy reviewer.</w:t>
      </w:r>
    </w:p>
    <w:p>
      <w:r>
        <w:br w:type="page"/>
      </w:r>
    </w:p>
    <w:p>
      <w:pPr>
        <w:pStyle w:val="Heading1"/>
      </w:pPr>
      <w:r>
        <w:t>7. Observability</w:t>
      </w:r>
    </w:p>
    <w:p>
      <w:r>
        <w:t>Logs and metrics are aggregated in Grafana Cloud. Trace sampling is 100% for error paths and 5% baseline for happy paths. Active SLO burn-rate alerts: 14.</w:t>
      </w:r>
    </w:p>
    <w:p>
      <w:r>
        <w:br w:type="page"/>
      </w:r>
    </w:p>
    <w:p>
      <w:pPr>
        <w:pStyle w:val="Heading1"/>
      </w:pPr>
      <w:r>
        <w:t>8. Disaster Recovery</w:t>
      </w:r>
    </w:p>
    <w:p>
      <w:r>
        <w:t>Recovery Point Objective (RPO) is 60 seconds for the data plane and 5 minutes for control plane state. Recovery Time Objective (RTO) is 30 minutes for full regional failover. Last successful DR drill: February 14, 2026.</w:t>
      </w:r>
    </w:p>
    <w:p>
      <w:r>
        <w:t>Failover is automated via Argo Workflows and triggers from the SLO burn-rate alarms documented in section 7</w:t>
      </w:r>
      <w:r>
        <w:rPr>
          <w:vertAlign w:val="superscript"/>
        </w:rPr>
        <w:t>[fn2]</w:t>
      </w:r>
      <w:r>
        <w:t>.</w:t>
      </w:r>
    </w:p>
    <w:p>
      <w:r>
        <w:br w:type="page"/>
      </w:r>
    </w:p>
    <w:p>
      <w:pPr>
        <w:pStyle w:val="Heading1"/>
      </w:pPr>
      <w:r>
        <w:t>9. Glossary</w:t>
      </w:r>
    </w:p>
    <w:p>
      <w:r>
        <w:t>HLN: Hyperion Logistics Network. SPIFFE: Secure Production Identity Framework for Everyone. SPIRE: SPIFFE Runtime Environment. OPA: Open Policy Agent.</w:t>
      </w:r>
    </w:p>
    <w:p>
      <w:r>
        <w:br w:type="page"/>
      </w:r>
    </w:p>
    <w:p>
      <w:pPr>
        <w:pStyle w:val="Heading1"/>
      </w:pPr>
      <w:r>
        <w:t>Footnotes</w:t>
      </w:r>
    </w:p>
    <w:p>
      <w:r>
        <w:t>[fn1] RFC-HLN-031: 'Stateless Multi-Region Router' — published October 18, 2025 by Mei-Ling Park. Approved by Platform Engineering Council on October 25, 2025.</w:t>
      </w:r>
    </w:p>
    <w:p>
      <w:r>
        <w:t>[fn2] SLO burn-rate alarms are defined in the file hln/slo/burn_rate.yaml in the hln-config repository. Reviewed quarterly; next review: July 2026.</w:t>
      </w:r>
    </w:p>
    <w:p>
      <w:pPr>
        <w:pStyle w:val="Heading1"/>
      </w:pPr>
      <w:r>
        <w:t>10. Anchor Fingerprint Facts</w:t>
      </w:r>
    </w:p>
    <w:p>
      <w:pPr>
        <w:pStyle w:val="ListBullet"/>
      </w:pPr>
      <w:r>
        <w:t>Hyperion Logistics Network (HLN) peak throughput: 28,000 events/sec.</w:t>
      </w:r>
    </w:p>
    <w:p>
      <w:pPr>
        <w:pStyle w:val="ListBullet"/>
      </w:pPr>
      <w:r>
        <w:t>HLN deploys to 3 regions: us-east-1, eu-central-1, ap-southeast-2.</w:t>
      </w:r>
    </w:p>
    <w:p>
      <w:pPr>
        <w:pStyle w:val="ListBullet"/>
      </w:pPr>
      <w:r>
        <w:t>router-core service is written in Rust, p95 = 84 ms.</w:t>
      </w:r>
    </w:p>
    <w:p>
      <w:pPr>
        <w:pStyle w:val="ListBullet"/>
      </w:pPr>
      <w:r>
        <w:t>Data plane storage as of April 2026: 184 TB.</w:t>
      </w:r>
    </w:p>
    <w:p>
      <w:pPr>
        <w:pStyle w:val="ListBullet"/>
      </w:pPr>
      <w:r>
        <w:t>Last successful DR drill: February 14, 2026. RPO 60 s. RTO 30 min.</w:t>
      </w:r>
    </w:p>
    <w:p>
      <w:pPr>
        <w:pStyle w:val="ListBullet"/>
      </w:pPr>
      <w:r>
        <w:t>RFC-HLN-031 was authored by Mei-Ling Park, approved October 18, 2025.</w:t>
      </w:r>
    </w:p>
    <w:p>
      <w:pPr>
        <w:pStyle w:val="ListBullet"/>
      </w:pPr>
      <w:r>
        <w:t>Number of active SLO burn-rate alerts: 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