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94D"/>
          <w:sz w:val="56"/>
        </w:rPr>
        <w:t>AIRS AI Red Teaming</w:t>
      </w:r>
    </w:p>
    <w:p>
      <w:pPr>
        <w:jc w:val="center"/>
      </w:pPr>
      <w:r>
        <w:rPr>
          <w:color w:val="00294D"/>
          <w:sz w:val="36"/>
        </w:rPr>
        <w:t>Technical Requirements Document</w:t>
      </w:r>
    </w:p>
    <w:p>
      <w:pPr>
        <w:jc w:val="center"/>
      </w:pPr>
      <w:r>
        <w:rPr>
          <w:b/>
          <w:color w:val="6D28D9"/>
          <w:sz w:val="24"/>
        </w:rPr>
        <w:t>CONSULTANT VERSION — Contains internal guidance</w:t>
      </w:r>
    </w:p>
    <w:p>
      <w:pPr>
        <w:jc w:val="center"/>
      </w:pPr>
      <w:r>
        <w:rPr>
          <w:color w:val="333333"/>
          <w:sz w:val="28"/>
        </w:rPr>
        <w:t>Customer: ___________________________________</w:t>
      </w:r>
    </w:p>
    <w:p>
      <w:pPr>
        <w:jc w:val="center"/>
      </w:pPr>
      <w:r>
        <w:rPr>
          <w:color w:val="666666"/>
          <w:sz w:val="24"/>
        </w:rPr>
        <w:t>Date: _______________</w:t>
      </w:r>
    </w:p>
    <w:p>
      <w:pPr>
        <w:jc w:val="center"/>
      </w:pPr>
      <w:r>
        <w:rPr>
          <w:color w:val="666666"/>
          <w:sz w:val="22"/>
        </w:rPr>
        <w:t>Palo Alto Networks Professional Services</w:t>
      </w:r>
    </w:p>
    <w:p>
      <w:r>
        <w:br w:type="page"/>
      </w:r>
    </w:p>
    <w:p>
      <w:r>
        <w:rPr>
          <w:b/>
          <w:color w:val="00294D"/>
          <w:sz w:val="28"/>
        </w:rPr>
        <w:t>How to Use This Document</w:t>
      </w:r>
    </w:p>
    <w:p>
      <w:r>
        <w:rPr>
          <w:b/>
          <w:color w:val="EF4444"/>
          <w:sz w:val="20"/>
        </w:rPr>
        <w:t>*  Required</w:t>
      </w:r>
      <w:r>
        <w:rPr>
          <w:sz w:val="20"/>
        </w:rPr>
        <w:t xml:space="preserve"> — Engagement cannot proceed without this answer.</w:t>
      </w:r>
    </w:p>
    <w:p>
      <w:r>
        <w:rPr>
          <w:b/>
          <w:color w:val="F59E0B"/>
          <w:sz w:val="20"/>
        </w:rPr>
        <w:t>†  Conditional</w:t>
      </w:r>
      <w:r>
        <w:rPr>
          <w:sz w:val="20"/>
        </w:rPr>
        <w:t xml:space="preserve"> — Required only if a prior answer triggers it.</w:t>
      </w:r>
    </w:p>
    <w:p>
      <w:r>
        <w:rPr>
          <w:b/>
          <w:color w:val="333333"/>
          <w:sz w:val="20"/>
        </w:rPr>
        <w:t>(unmarked)  Optional</w:t>
      </w:r>
      <w:r>
        <w:rPr>
          <w:sz w:val="20"/>
        </w:rPr>
        <w:t xml:space="preserve"> — Improves engagement quality but not blocking.</w:t>
      </w:r>
    </w:p>
    <w:p>
      <w:r>
        <w:rPr>
          <w:b/>
        </w:rPr>
        <w:t>Part A</w:t>
      </w:r>
      <w:r>
        <w:t xml:space="preserve"> is completed once per customer. </w:t>
      </w:r>
      <w:r>
        <w:rPr>
          <w:b/>
        </w:rPr>
        <w:t>Part B</w:t>
      </w:r>
      <w:r>
        <w:t xml:space="preserve"> once per engagement. </w:t>
      </w:r>
      <w:r>
        <w:rPr>
          <w:b/>
        </w:rPr>
        <w:t>Part C</w:t>
      </w:r>
      <w:r>
        <w:t xml:space="preserve"> is repeated for each target or target group.</w:t>
      </w:r>
    </w:p>
    <w:p>
      <w:r>
        <w:br w:type="page"/>
      </w:r>
    </w:p>
    <w:p>
      <w:r>
        <w:rPr>
          <w:b/>
          <w:color w:val="00294D"/>
          <w:sz w:val="36"/>
        </w:rPr>
        <w:t>Part A — Engagement Context</w:t>
      </w:r>
    </w:p>
    <w:p>
      <w:r>
        <w:rPr>
          <w:i/>
          <w:color w:val="666666"/>
          <w:sz w:val="20"/>
        </w:rPr>
        <w:t>Asked once per customer</w:t>
      </w:r>
    </w:p>
    <w:p/>
    <w:p>
      <w:r>
        <w:rPr>
          <w:b/>
          <w:color w:val="00294D"/>
          <w:sz w:val="28"/>
        </w:rPr>
        <w:t>§1  Engagement Overview</w:t>
      </w:r>
      <w:r>
        <w:rPr>
          <w:b/>
          <w:color w:val="22C55E"/>
          <w:sz w:val="18"/>
        </w:rPr>
        <w:t xml:space="preserve">  [Scoping]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Customer name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Primary business driver for AI red teaming?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Pre-deployment security validation / Compliance requirement / Risk assessment / Incident response / Other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What does success look like for this engagement?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Target start date</w:t>
            </w:r>
            <w:r>
              <w:rPr>
                <w:color w:val="006DCC"/>
                <w:sz w:val="16"/>
              </w:rPr>
              <w:t xml:space="preserve">  [date]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Desired completion date</w:t>
            </w:r>
            <w:r>
              <w:rPr>
                <w:color w:val="006DCC"/>
                <w:sz w:val="16"/>
              </w:rPr>
              <w:t xml:space="preserve">  [date]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sz w:val="22"/>
        </w:rPr>
        <w:t>Stakeholder Contacts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216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Project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Technical lead (AI/ML)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Security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CSP portal admin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The business driver shapes scope. Compliance-driven engagements need compliance-mapped reports (OWASP, NIST). Risk assessment prioritizes breadth across targets.</w:t>
        <w:br/>
        <w:br/>
        <w:t>Common pattern: Most customers cite 'pre-deployment validation' but actually need compliance evidence for auditors. Probe for the real audience of the final report.</w:t>
        <w:br/>
        <w:br/>
        <w:t>If they don't know: Default to 'Pre-deployment security validation' and adjust after the first scan cycle.</w:t>
      </w:r>
    </w:p>
    <w:p>
      <w:r>
        <w:rPr>
          <w:b/>
          <w:color w:val="00294D"/>
          <w:sz w:val="28"/>
        </w:rPr>
        <w:t>§2  Target Overview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Drives Part C count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Application Name</w:t>
            </w:r>
          </w:p>
        </w:tc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Hosting</w:t>
            </w:r>
          </w:p>
        </w:tc>
        <w:tc>
          <w:tcPr>
            <w:tcW w:type="dxa" w:w="144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Model / Application / Agent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Cloud / On-prem / Hybrid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High / Medium / 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Model / Application / Agent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Cloud / On-prem / Hybrid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High / Medium / 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Model / Application / Agent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Cloud / On-prem / Hybrid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High / Medium / 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Model / Application / Agent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Cloud / On-prem / Hybrid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High / Medium / 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Model / Application / Agent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Cloud / On-prem / Hybrid</w:t>
            </w:r>
          </w:p>
        </w:tc>
        <w:tc>
          <w:tcPr>
            <w:tcW w:type="dxa" w:w="1440"/>
          </w:tcPr>
          <w:p>
            <w:r/>
            <w:r>
              <w:rPr>
                <w:i/>
                <w:color w:val="888888"/>
                <w:sz w:val="18"/>
              </w:rPr>
              <w:t>High / Medium / Low</w:t>
            </w:r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Row count determines Part C sections, credit consumption, and package.</w:t>
        <w:br/>
        <w:br/>
        <w:t>Target types:</w:t>
        <w:br/>
        <w:t>• Model — Direct model endpoint (simplest config)</w:t>
        <w:br/>
        <w:t>• Application — AI-powered app with business logic, guardrails (needs industry, use case, competitors)</w:t>
        <w:br/>
        <w:t>• Agent — Autonomous with tool access (needs tool schemas for tool-misuse attacks)</w:t>
        <w:br/>
        <w:br/>
        <w:t>Gotcha: A single model behind 3 apps = 3 targets (different system prompts, guardrails, use cases).</w:t>
      </w:r>
    </w:p>
    <w:p>
      <w:r>
        <w:rPr>
          <w:b/>
          <w:color w:val="00294D"/>
          <w:sz w:val="28"/>
        </w:rPr>
        <w:t>§3  Compliance Requirements</w:t>
      </w:r>
      <w:r>
        <w:rPr>
          <w:b/>
          <w:color w:val="F59E0B"/>
          <w:sz w:val="18"/>
        </w:rPr>
        <w:t xml:space="preserve">  [Important]</w:t>
      </w:r>
    </w:p>
    <w:p>
      <w:r>
        <w:rPr>
          <w:i/>
          <w:color w:val="006DCC"/>
          <w:sz w:val="18"/>
        </w:rPr>
        <w:t>Feeds: Step 6.2 (category selection)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Which compliance frameworks must scan results map to?</w:t>
            </w:r>
            <w:r>
              <w:rPr>
                <w:color w:val="006DCC"/>
                <w:sz w:val="16"/>
              </w:rPr>
              <w:t xml:space="preserve">  [multi-select]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OWASP LLM Top 10 / MITRE ATLAS / NIST AI RMF / DASF V2.0 / None specific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Are compliance-mapped reports required for auditors or regulators?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auditor delivery / Yes — internal compliance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Industry-specific AI regulations that apply?</w:t>
            </w:r>
            <w:r>
              <w:rPr>
                <w:i/>
                <w:color w:val="888888"/>
                <w:sz w:val="16"/>
              </w:rPr>
              <w:br/>
              <w:t>(e.g., EU AI Act, FDA AI/ML guidance, FFIEC)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Framework selection drives COMPLIANCE subcategories in scan config.</w:t>
        <w:br/>
        <w:br/>
        <w:t>Common: Financial services → NIST + OWASP. Healthcare → NIST. Tech → OWASP + MITRE ATLAS. Government → NIST mandatory.</w:t>
        <w:br/>
        <w:br/>
        <w:t>If they don't know: Enable all four. No performance penalty.</w:t>
      </w:r>
    </w:p>
    <w:p>
      <w:r>
        <w:rPr>
          <w:b/>
          <w:color w:val="00294D"/>
          <w:sz w:val="28"/>
        </w:rPr>
        <w:t>§4  Remediation Expectations</w:t>
      </w:r>
      <w:r>
        <w:rPr>
          <w:b/>
          <w:color w:val="F59E0B"/>
          <w:sz w:val="18"/>
        </w:rPr>
        <w:t xml:space="preserve">  [Important]</w:t>
      </w:r>
    </w:p>
    <w:p>
      <w:r>
        <w:rPr>
          <w:i/>
          <w:color w:val="006DCC"/>
          <w:sz w:val="18"/>
        </w:rPr>
        <w:t>Feeds: Step 8.3 (remediation review)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Will Red Teaming findings feed into AIRS Runtime for real-time protection?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— RT→Runtime bridge planned / Under evaluation / No — findings for manual remediation only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Who will implement remediation for discovered vulnerabilities?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Customer AI/ML team / Customer security team / Palo Alto Networks PS / Joint effort</w:t>
            </w:r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RT→Runtime bridge is a key upsell. If planned, coordinate deployment profiles and ensure Runtime API Intercept is licensed alongside Red Teaming.</w:t>
        <w:br/>
        <w:br/>
        <w:t>Customers who say 'manual remediation only' often change their mind after seeing the first report.</w:t>
      </w:r>
    </w:p>
    <w:p>
      <w:r>
        <w:br w:type="page"/>
      </w:r>
    </w:p>
    <w:p>
      <w:r>
        <w:rPr>
          <w:b/>
          <w:color w:val="00294D"/>
          <w:sz w:val="36"/>
        </w:rPr>
        <w:t>Part B — Platform Configuration</w:t>
      </w:r>
    </w:p>
    <w:p>
      <w:r>
        <w:rPr>
          <w:i/>
          <w:color w:val="666666"/>
          <w:sz w:val="20"/>
        </w:rPr>
        <w:t>Asked once per engagement</w:t>
      </w:r>
    </w:p>
    <w:p/>
    <w:p>
      <w:r>
        <w:rPr>
          <w:b/>
          <w:color w:val="00294D"/>
          <w:sz w:val="28"/>
        </w:rPr>
        <w:t>§5  Licensing &amp; Credits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3.1 (Create Deployment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CSP admin email (with credit allocation permissions)</w:t>
            </w:r>
            <w:r>
              <w:rPr>
                <w:color w:val="006DCC"/>
                <w:sz w:val="16"/>
              </w:rPr>
              <w:t xml:space="preserve">  [email]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Total credits in customer's AIRS pool?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Credits allocated specifically for AI Red Teaming?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Are credits shared with other AIRS products (Runtime, Model Security)?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shared pool / No — dedicated RT allocation</w:t>
            </w:r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Credits determine scan quota. A single Attack Library scan ≈ 1 session per target.</w:t>
        <w:br/>
        <w:br/>
        <w:t>Gotcha: CSP admin must have the credit allocation role — standard SCM admins cannot allocate credits. Verify during the pre-engagement call.</w:t>
      </w:r>
    </w:p>
    <w:p>
      <w:r>
        <w:rPr>
          <w:b/>
          <w:color w:val="00294D"/>
          <w:sz w:val="28"/>
        </w:rPr>
        <w:t>§6  Tenant &amp; TSG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3.1 (Create Deployment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Does a Tenant Service Group (TSG) already exist, or will one be created?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Existing TSG / Create new TSG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If existing: TSG ID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Preferred region for the AIRS deployment profile?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Americas / EU / Singapore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Is Strata Logging Service (SLS) enabled on this tenant?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 / Unknown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Does the tenant have an existing AIOps subscription?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 / Unknown</w:t>
            </w:r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TSG and region cannot be changed after activation. SLS is mandatory — activate first if not enabled (adds 10–15 min).</w:t>
        <w:br/>
        <w:br/>
        <w:t>Existing AIOps can conflict with AIRS onboarding. New TSG adds 15–20 min provisioning.</w:t>
      </w:r>
    </w:p>
    <w:p>
      <w:r>
        <w:rPr>
          <w:b/>
          <w:color w:val="00294D"/>
          <w:sz w:val="28"/>
        </w:rPr>
        <w:t>§7  Access &amp; Identity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3.2 (Configure IAM)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Which RBAC roles are needed for the engagement?</w:t>
            </w:r>
            <w:r>
              <w:rPr>
                <w:color w:val="006DCC"/>
                <w:sz w:val="16"/>
              </w:rPr>
              <w:t xml:space="preserve">  [multi-select]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Superuser / Custom role with "AI Red Teaming" enabled / Read-only for stakeholders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Is a service account needed for API or CI/CD access?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 / TBD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Does the customer use SSO / IdP for SCM access?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Okta / Entra ID (Azure AD) / Ping Identity / Google Workspace / No SSO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How many users need SCM access for this engagement?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Custom roles must explicitly enable 'AI Red Teaming' app access. Service accounts required for API scans — record Client Secret immediately (not retrievable later).</w:t>
        <w:br/>
        <w:br/>
        <w:t>Most engagements need: 1 Superuser (PS) + 1 read-only (stakeholders) + 1 service account (API).</w:t>
      </w:r>
    </w:p>
    <w:p>
      <w:r>
        <w:rPr>
          <w:b/>
          <w:color w:val="00294D"/>
          <w:sz w:val="28"/>
        </w:rPr>
        <w:t>§8  Network &amp; Connectivity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Phase 5 decision (skip or deploy Network Channel)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Are the target endpoints publicly accessible from the internet?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All public / All private / Mix of public and private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If private: is a Kubernetes cluster available for the Network Channel client?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managed K8s (EKS/AKS/GKE) / Yes — self-managed K8s / No K8s available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If K8s: does the cluster have outbound internet access?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 — air-gapped / Restricted (proxy/allowlist)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Is there a WAF or API gateway in the request path to any target?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 / 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If WAF present: desired testing strategy?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Whitelist AIRS source IPs / Bypass WAF (test app directly) / Test full stack including WAF</w:t>
            </w:r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Single most impactful scoping question. Public → skip Phase 5 entirely. Private → deploy Network Channel (1–2 hours + K8s prereqs).</w:t>
        <w:br/>
        <w:br/>
        <w:t>WAF decision: Testing through WAF = realistic full-stack test. Bypassing WAF = isolates AI-specific vulnerabilities. Neither is wrong — clarify intent.</w:t>
      </w:r>
    </w:p>
    <w:p>
      <w:r>
        <w:rPr>
          <w:b/>
          <w:color w:val="00294D"/>
          <w:sz w:val="28"/>
        </w:rPr>
        <w:t>§9  Engagement Sizing</w:t>
      </w:r>
      <w:r>
        <w:rPr>
          <w:b/>
          <w:color w:val="22C55E"/>
          <w:sz w:val="18"/>
        </w:rPr>
        <w:t xml:space="preserve">  [Scoping]</w:t>
      </w:r>
    </w:p>
    <w:p>
      <w:r>
        <w:rPr>
          <w:i/>
          <w:color w:val="006DCC"/>
          <w:sz w:val="18"/>
        </w:rPr>
        <w:t>Feeds: Calculated from §2, §5, §8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package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Starter (1 target) / Standard (up to 3) / Advanced (up to 5 + Network Channel) / Enterprise (5+ custom)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Add-on: Network Channel deployment?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Add-on: REST wrapper development?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Add-on: CI/CD pipeline integration?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Add-on: Custom attack development?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</w:t>
            </w:r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Sizing formula: (targets × scan types × scan cycles) = total sessions.</w:t>
        <w:br/>
        <w:t>Attack Library ≈ 5 hours/target. Dynamic Agent ≈ 1–2 hours.</w:t>
        <w:br/>
        <w:br/>
        <w:t>Pre-built connections (OpenAI, Bedrock, Vertex) &lt; 10 min to configure. REST (custom) connections: budget 30–60 min per target for template work.</w:t>
      </w:r>
    </w:p>
    <w:p>
      <w:r>
        <w:br w:type="page"/>
      </w:r>
    </w:p>
    <w:p>
      <w:r>
        <w:rPr>
          <w:b/>
          <w:color w:val="00294D"/>
          <w:sz w:val="36"/>
        </w:rPr>
        <w:t>Part C — Per-Target Configuration</w:t>
      </w:r>
    </w:p>
    <w:p>
      <w:r>
        <w:rPr>
          <w:i/>
          <w:color w:val="666666"/>
          <w:sz w:val="20"/>
        </w:rPr>
        <w:t>Repeated for each target. Duplicate this tab for additional targets.</w:t>
      </w:r>
    </w:p>
    <w:p/>
    <w:p>
      <w:r>
        <w:rPr>
          <w:b/>
          <w:color w:val="00294D"/>
          <w:sz w:val="28"/>
        </w:rPr>
        <w:t>§10  Target Architecture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4.2 (Add Target) + Step 4.3 (Configure Details)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Application name (human-readable)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Target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MODEL / APPLICATION /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Inference provider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OPENAI / AZURE_OPENAI / BEDROCK / VERTEX / HUGGINGFACE / REST (custom)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Base model</w:t>
            </w:r>
            <w:r>
              <w:rPr>
                <w:i/>
                <w:color w:val="888888"/>
                <w:sz w:val="16"/>
              </w:rPr>
              <w:br/>
              <w:t>(e.g., GPT-4o, Claude 3.5, Gemini 2.0, Llama 3.1)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 architecture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Single LLM / RAG (retrieval-augmented) / Tool Calling / Multi-Agent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Industry (required for Application and Agent types)</w:t>
            </w:r>
            <w:r>
              <w:rPr>
                <w:i/>
                <w:color w:val="888888"/>
                <w:sz w:val="16"/>
              </w:rPr>
              <w:br/>
              <w:t>(e.g., Financial services, Healthcare, Technology)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Use case description</w:t>
            </w:r>
            <w:r>
              <w:rPr>
                <w:i/>
                <w:color w:val="888888"/>
                <w:sz w:val="16"/>
              </w:rPr>
              <w:br/>
              <w:t>(e.g., Customer support chatbot for insurance claims)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Competitor names (for brand reputation attacks)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prompt (enables white-box testing)</w:t>
            </w:r>
            <w:r>
              <w:rPr>
                <w:i/>
                <w:color w:val="888888"/>
                <w:sz w:val="16"/>
              </w:rPr>
              <w:br/>
              <w:t>(Paste or attach the full system prompt)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Tools accessible (Agent targets only — provide tool schemas)</w:t>
            </w:r>
            <w:r>
              <w:rPr>
                <w:color w:val="006DCC"/>
                <w:sz w:val="16"/>
              </w:rPr>
              <w:t xml:space="preserve">  [json]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System prompt is the single highest-impact optional field — enables white-box testing, dramatically improves Agent scan results. If customer is reluctant, explain it stays within the AIRS platform.</w:t>
        <w:br/>
        <w:br/>
        <w:t>Agent tool schemas enable tool-misuse attacks — high-impact for agentic architectures.</w:t>
      </w:r>
    </w:p>
    <w:p>
      <w:r>
        <w:rPr>
          <w:b/>
          <w:color w:val="00294D"/>
          <w:sz w:val="28"/>
        </w:rPr>
        <w:t>§11  Risk Priority Matrix</w:t>
      </w:r>
      <w:r>
        <w:rPr>
          <w:b/>
          <w:color w:val="F59E0B"/>
          <w:sz w:val="18"/>
        </w:rPr>
        <w:t xml:space="preserve">  [Important]</w:t>
      </w:r>
    </w:p>
    <w:p>
      <w:r>
        <w:rPr>
          <w:i/>
          <w:color w:val="006DCC"/>
          <w:sz w:val="18"/>
        </w:rPr>
        <w:t>Feeds: Step 6.2 (Configure Scan Categories)</w:t>
      </w:r>
    </w:p>
    <w:p>
      <w:r>
        <w:rPr>
          <w:b/>
          <w:color w:val="00294D"/>
          <w:sz w:val="22"/>
        </w:rPr>
        <w:t>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Subcategory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Adversarial Suffix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Evasion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Indirect Prompt Injection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Jailbreak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Multi-Turn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Prompt Injection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Remote Code Execution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System Prompt Leak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Tool Leak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</w:tbl>
    <w:p>
      <w:r>
        <w:rPr>
          <w:b/>
          <w:color w:val="00294D"/>
          <w:sz w:val="22"/>
        </w:rPr>
        <w:t>Safety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Subcategory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Bias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CBRN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Cybercrime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Drugs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Non-Violent Crimes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Political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Self-Harm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Sexual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Violent Crimes &amp; Weapons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</w:tbl>
    <w:p>
      <w:r>
        <w:rPr>
          <w:b/>
          <w:color w:val="00294D"/>
          <w:sz w:val="22"/>
        </w:rPr>
        <w:t>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Subcategory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OWASP LLM Top 10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MITRE ATLAS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NIST AI RMF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DASF V2.0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</w:tbl>
    <w:p>
      <w:r>
        <w:rPr>
          <w:b/>
          <w:color w:val="00294D"/>
          <w:sz w:val="22"/>
        </w:rPr>
        <w:t>Brand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Subcategory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Off-Brand Responses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Competitor Endorsement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 Misinformation</w:t>
            </w:r>
          </w:p>
        </w:tc>
        <w:tc>
          <w:tcPr>
            <w:tcW w:type="dxa" w:w="2880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fill="F7F8FA" w:val="clear"/>
          </w:tcPr>
          <w:p>
            <w:r>
              <w:rPr>
                <w:sz w:val="18"/>
              </w:rPr>
              <w:t>Tone Inconsistency</w:t>
            </w:r>
          </w:p>
        </w:tc>
        <w:tc>
          <w:tcPr>
            <w:tcW w:type="dxa" w:w="2880"/>
            <w:shd w:fill="F7F8FA" w:val="clear"/>
          </w:tcPr>
          <w:p>
            <w:r>
              <w:rPr>
                <w:i/>
                <w:color w:val="888888"/>
                <w:sz w:val="18"/>
              </w:rPr>
              <w:t>1 (Low) / 2 (Medium) / 3 (High) / N/A</w:t>
            </w:r>
          </w:p>
        </w:tc>
        <w:tc>
          <w:tcPr>
            <w:tcW w:type="dxa" w:w="2880"/>
            <w:shd w:fill="F7F8FA" w:val="clear"/>
          </w:tcPr>
          <w:p/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Default: all Security → High, all Safety → Medium. Compliance per §3. Brand → High for customer-facing apps, N/A for internal tools.</w:t>
        <w:br/>
        <w:br/>
        <w:t>Don't set everything to High — makes reports less actionable. Prioritization helps focus remediation.</w:t>
      </w:r>
    </w:p>
    <w:p>
      <w:r>
        <w:rPr>
          <w:b/>
          <w:color w:val="00294D"/>
          <w:sz w:val="28"/>
        </w:rPr>
        <w:t>§12  Connection &amp; Auth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4.2 (Add Target)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Connection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OPENAI / AZURE_OPENAI / BEDROCK / VERTEX / HUGGINGFACE / REST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Endpoint URL</w:t>
            </w:r>
            <w:r>
              <w:rPr>
                <w:color w:val="006DCC"/>
                <w:sz w:val="16"/>
              </w:rPr>
              <w:t xml:space="preserve">  [url]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Endpoint accessibility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PUBLIC / PRIVATE / NETWORK_BROKER (API-only)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Authentication method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HEADERS (API key) / BASIC_AUTH / OAUTH2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Auth credentials (API key, token, or OAuth config)</w:t>
            </w:r>
            <w:r>
              <w:rPr>
                <w:i/>
                <w:color w:val="888888"/>
                <w:sz w:val="16"/>
              </w:rPr>
              <w:br/>
              <w:t>(Provide securely — do not include in shared documents)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Token/credential expiry period?</w:t>
            </w:r>
            <w:r>
              <w:rPr>
                <w:i/>
                <w:color w:val="888888"/>
                <w:sz w:val="16"/>
              </w:rPr>
              <w:br/>
              <w:t>(e.g., 1 hour, 24 hours, no expiry)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protocol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REST (default) / WebSocket / gRPC / Socket.IO / GraphQL</w:t>
            </w:r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Token expiry &gt; 1hr critical — Attack Library scans run ~5 hours. Static API keys preferred for test envs.</w:t>
        <w:br/>
        <w:br/>
        <w:t>NETWORK_BROKER is API-only (not in SCM UI). Non-REST protocols trigger §16 (REST Wrapper).</w:t>
      </w:r>
    </w:p>
    <w:p>
      <w:r>
        <w:rPr>
          <w:b/>
          <w:color w:val="00294D"/>
          <w:sz w:val="28"/>
        </w:rPr>
        <w:t>§13  Rate Limits &amp; Capacity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4.3 + scan execution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Requests per minute (RPM) limit?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Tokens per minute (TPM) limit?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Tokens per day (TPD) limit?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Maximum concurrent requests?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Maximum input tokens per request?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Maximum output tokens per request?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Rate limits are the #1 cause of scan failures. Attack Library needs 10–20 RPM sustained for ~5 hours.</w:t>
        <w:br/>
        <w:br/>
        <w:t>Common:</w:t>
        <w:br/>
        <w:t>• OpenAI Tier 1: 500 RPM, 30K TPM — fine</w:t>
        <w:br/>
        <w:t>• OpenAI Tier 0/free: 3 RPM — too low, will fail</w:t>
        <w:br/>
        <w:t>• Bedrock: varies by model — check AWS console</w:t>
        <w:br/>
        <w:br/>
        <w:t>Recommend a dedicated API key with elevated limits for testing.</w:t>
      </w:r>
    </w:p>
    <w:p>
      <w:r>
        <w:rPr>
          <w:b/>
          <w:color w:val="00294D"/>
          <w:sz w:val="28"/>
        </w:rPr>
        <w:t>§14  Guardrail Detection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4.3 (Configure Details)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Does the target have guardrails (content filters, safety layers)?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 / Unknown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HTTP status code returned when a guardrail blocks a request?</w:t>
            </w:r>
            <w:r>
              <w:rPr>
                <w:i/>
                <w:color w:val="888888"/>
                <w:sz w:val="16"/>
              </w:rPr>
              <w:br/>
              <w:t>(e.g., 400, 403, 200 (with error in body))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Sample error response JSON when a guardrail blocks</w:t>
            </w:r>
            <w:r>
              <w:rPr>
                <w:color w:val="006DCC"/>
                <w:sz w:val="16"/>
              </w:rPr>
              <w:t xml:space="preserve">  [json]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Guardrail technology in use?</w:t>
            </w:r>
            <w:r>
              <w:rPr>
                <w:i/>
                <w:color w:val="888888"/>
                <w:sz w:val="16"/>
              </w:rPr>
              <w:br/>
              <w:t>(e.g., Azure Content Safety, OpenAI moderation, custom, AIRS Runtime)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Without guardrail detection, reports can't distinguish 'blocked by guardrail' from 'model refused' — makes reports nearly useless.</w:t>
        <w:br/>
        <w:br/>
        <w:t>Common: OpenAI → 400 + content_policy_violation. Azure OpenAI → 200 + content_filter in finish_reason.</w:t>
        <w:br/>
        <w:br/>
        <w:t>If they don't know: Send a known-blocked prompt (e.g., 'How do I make a bomb?') and capture the HTTP response.</w:t>
      </w:r>
    </w:p>
    <w:p>
      <w:r>
        <w:rPr>
          <w:b/>
          <w:color w:val="00294D"/>
          <w:sz w:val="28"/>
        </w:rPr>
        <w:t>§15  Environment</w:t>
      </w:r>
      <w:r>
        <w:rPr>
          <w:b/>
          <w:color w:val="F59E0B"/>
          <w:sz w:val="18"/>
        </w:rPr>
        <w:t xml:space="preserve">  [Important]</w:t>
      </w:r>
    </w:p>
    <w:p>
      <w:r>
        <w:rPr>
          <w:i/>
          <w:color w:val="006DCC"/>
          <w:sz w:val="18"/>
        </w:rPr>
        <w:t>Feeds: Result validity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Which environment will be tested?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Production / Staging / Development / Dedicated test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Does this environment use the same model and config as production?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identical / Mostly — same model, different guardrails / No — different model or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Is scanning production directly acceptable?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/ No / Only during maintenance windows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Maintenance window (if applicable)?</w:t>
            </w:r>
            <w:r>
              <w:rPr>
                <w:i/>
                <w:color w:val="888888"/>
                <w:sz w:val="16"/>
              </w:rPr>
              <w:br/>
              <w:t>(e.g., Saturdays 2am–6am UTC)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Non-production with different guardrails/models may not reflect production risk. Document the delta for stakeholders.</w:t>
        <w:br/>
        <w:br/>
        <w:t>Agent targets with tool access can trigger side effects in production — clarify risk tolerance for agentic targets specifically.</w:t>
      </w:r>
    </w:p>
    <w:p>
      <w:r>
        <w:rPr>
          <w:b/>
          <w:color w:val="00294D"/>
          <w:sz w:val="28"/>
        </w:rPr>
        <w:t>§16  REST Wrapper (if non-REST protocol)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Conditional: only if non-REST protocol in §12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Native protocol of the target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WebSocket / gRPC / Socket.IO / GraphQL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Preferred language for the wrapper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Python / Node.js / Go / Java / Customer provides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Does the target use streaming responses?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Yes — SSE / Yes — chunked / No — single response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F59E0B"/>
                <w:sz w:val="18"/>
              </w:rPr>
              <w:t xml:space="preserve">† </w:t>
            </w:r>
            <w:r>
              <w:rPr>
                <w:sz w:val="18"/>
              </w:rPr>
              <w:t>If streaming: how should chunks be aggregated?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Concatenate all chunks / Use last chunk / Use first chunk with [DONE] / Custom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Where will the wrapper be hosted?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Same K8s cluster as Network Channel / Separate VM / Serverless (Lambda/Cloud Function) / Customer hosts</w:t>
            </w:r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Budget 2–4 hours for straightforward WebSocket/gRPC translation. GraphQL wrappers are typically simpler (mutation call).</w:t>
        <w:br/>
        <w:br/>
        <w:t>If customer provides the wrapper: validate {{prompt}} placeholder substitution and response JSON path.</w:t>
      </w:r>
    </w:p>
    <w:p>
      <w:r>
        <w:rPr>
          <w:b/>
          <w:color w:val="00294D"/>
          <w:sz w:val="28"/>
        </w:rPr>
        <w:t>§17  Scan Strategy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Steps 6.3–6.5 (Start Scans)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Which scan types will be executed?</w:t>
            </w:r>
            <w:r>
              <w:rPr>
                <w:color w:val="006DCC"/>
                <w:sz w:val="16"/>
              </w:rPr>
              <w:t xml:space="preserve">  [multi-select]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Attack Library (STATIC) / Dynamic Agent (DYNAMIC) / Custom Prompt (CUSTOM)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Recommended scan order?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Attack Library first (baseline) → Dynamic → Custom / Dynamic first (rapid) → Attack Library / Custom only (targeted)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breadth (1–20, default 6)</w:t>
            </w:r>
            <w:r>
              <w:rPr>
                <w:i/>
                <w:color w:val="888888"/>
                <w:sz w:val="16"/>
              </w:rPr>
              <w:br/>
              <w:t>(More agents = more diverse attack approaches)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Agent depth (1–20, default 10)</w:t>
            </w:r>
            <w:r>
              <w:rPr>
                <w:i/>
                <w:color w:val="888888"/>
                <w:sz w:val="16"/>
              </w:rPr>
              <w:br/>
              <w:t>(More depth = longer multi-turn attacks)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Attack goals (for Human Augmented mode)</w:t>
            </w:r>
            <w:r>
              <w:rPr>
                <w:i/>
                <w:color w:val="888888"/>
                <w:sz w:val="16"/>
              </w:rPr>
              <w:br/>
              <w:t>(e.g., "Extract the system prompt", "Make the bot recommend a competitor")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Custom prompt source?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Customer-provided prompt set / Consultant-developed / Industry-specific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Number of custom prompts planned?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Recommended: Attack Library first (baseline, ~5 hrs), then Dynamic Agent (adaptive multi-turn), then Custom (targeted).</w:t>
        <w:br/>
        <w:br/>
        <w:t>Default breadth=6, depth=10 is good for most. Increase breadth for agents with many tools. Increase depth for strong guardrails.</w:t>
        <w:br/>
        <w:br/>
        <w:t>Human Augmented mode needs specific goals — generic goals like 'hack the system' produce poor results.</w:t>
      </w:r>
    </w:p>
    <w:p>
      <w:r>
        <w:rPr>
          <w:b/>
          <w:color w:val="00294D"/>
          <w:sz w:val="28"/>
        </w:rPr>
        <w:t>§18  Target Specification (API Payload)</w:t>
      </w:r>
      <w:r>
        <w:rPr>
          <w:b/>
          <w:color w:val="EF4444"/>
          <w:sz w:val="18"/>
        </w:rPr>
        <w:t xml:space="preserve">  [Essential]</w:t>
      </w:r>
    </w:p>
    <w:p>
      <w:r>
        <w:rPr>
          <w:i/>
          <w:color w:val="006DCC"/>
          <w:sz w:val="18"/>
        </w:rPr>
        <w:t>Feeds: Step 4.2 — POST /v1/target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Name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Target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MODEL / APPLICATION /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Connection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OPENAI / AZURE_OPENAI / BEDROCK / VERTEX / HUGGINGFACE / REST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Endpoint URL</w:t>
            </w:r>
            <w:r>
              <w:rPr>
                <w:color w:val="006DCC"/>
                <w:sz w:val="16"/>
              </w:rPr>
              <w:t xml:space="preserve">  [url]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Endpoint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PUBLIC / PRIVATE / NETWORK_BROKER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Auth Type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HEADERS / BASIC_AUTH / OAUTH2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Auth Config (provide securely)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Request template body (must contain {{prompt}})</w:t>
            </w:r>
            <w:r>
              <w:rPr>
                <w:i/>
                <w:color w:val="888888"/>
                <w:sz w:val="16"/>
              </w:rPr>
              <w:br/>
              <w:t>(See example in consultant version)</w:t>
            </w:r>
            <w:r>
              <w:rPr>
                <w:color w:val="006DCC"/>
                <w:sz w:val="16"/>
              </w:rPr>
              <w:t xml:space="preserve">  [json]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Response body path</w:t>
            </w:r>
            <w:r>
              <w:rPr>
                <w:i/>
                <w:color w:val="888888"/>
                <w:sz w:val="16"/>
              </w:rPr>
              <w:br/>
              <w:t>(e.g., choices[0].message.content)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HTTP Method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POST / GET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Industry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b/>
                <w:color w:val="EF4444"/>
                <w:sz w:val="18"/>
              </w:rPr>
              <w:t xml:space="preserve">* </w:t>
            </w:r>
            <w:r>
              <w:rPr>
                <w:sz w:val="18"/>
              </w:rPr>
              <w:t>Use Case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Competitors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Base Model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Prompt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Tools Accessible (Agent only)</w:t>
            </w:r>
            <w:r>
              <w:rPr>
                <w:color w:val="006DCC"/>
                <w:sz w:val="16"/>
              </w:rPr>
              <w:t xml:space="preserve">  [json]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Core Architecture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Single LLM / RAG / Tool Calling / Multi-Agent</w:t>
            </w:r>
          </w:p>
        </w:tc>
      </w:tr>
    </w:tbl>
    <w:p>
      <w:pPr>
        <w:shd w:fill="F3E8FF" w:val="clear"/>
        <w:pBdr>
          <w:left w:val="single" w:sz="12" w:space="4" w:color="7C3AED"/>
        </w:pBdr>
      </w:pPr>
      <w:r>
        <w:rPr>
          <w:b/>
          <w:color w:val="6D28D9"/>
          <w:sz w:val="18"/>
        </w:rPr>
        <w:t xml:space="preserve">Consultant Notes: </w:t>
      </w:r>
      <w:r>
        <w:rPr>
          <w:i/>
          <w:color w:val="4C1D95"/>
          <w:sz w:val="18"/>
        </w:rPr>
        <w:t>This section IS the POST /v1/target API payload. Validate before scanning:</w:t>
        <w:br/>
        <w:t>1. Send test request with benign prompt — verify response</w:t>
        <w:br/>
        <w:t>2. Verify response body path extracts actual model text</w:t>
        <w:br/>
        <w:t>3. Test guardrail detection pattern</w:t>
        <w:br/>
        <w:t>4. Confirm rate limits not hit</w:t>
        <w:br/>
        <w:br/>
        <w:t>Request template example (OpenAI):</w:t>
        <w:br/>
        <w:t>{</w:t>
        <w:br/>
        <w:t xml:space="preserve">  "model": "gpt-4o",</w:t>
        <w:br/>
        <w:t xml:space="preserve">  "messages": [</w:t>
        <w:br/>
        <w:t xml:space="preserve">    {"role": "user", "content": "{{prompt}}"}</w:t>
        <w:br/>
        <w:t xml:space="preserve">  ],</w:t>
        <w:br/>
        <w:t xml:space="preserve">  "temperature": 0.7,</w:t>
        <w:br/>
        <w:t xml:space="preserve">  "max_tokens": 1024</w:t>
        <w:br/>
        <w:t>}</w:t>
        <w:br/>
        <w:br/>
        <w:t>Common mistake: Azure OpenAI endpoint must include deployment name:</w:t>
        <w:br/>
        <w:t>https://{resource}.openai.azure.com/openai/deployments/{deployment}/chat/completions?api-version=2024-02-01</w:t>
      </w:r>
    </w:p>
    <w:p>
      <w:r>
        <w:br w:type="page"/>
      </w:r>
    </w:p>
    <w:p>
      <w:r>
        <w:rPr>
          <w:b/>
          <w:color w:val="00294D"/>
          <w:sz w:val="36"/>
        </w:rPr>
        <w:t>Day-2 Appendix</w:t>
      </w:r>
    </w:p>
    <w:p>
      <w:r>
        <w:rPr>
          <w:i/>
          <w:color w:val="666666"/>
          <w:sz w:val="20"/>
        </w:rPr>
        <w:t>Optional — address after first scan cycle</w:t>
      </w:r>
    </w:p>
    <w:p/>
    <w:p>
      <w:r>
        <w:rPr>
          <w:b/>
          <w:color w:val="00294D"/>
          <w:sz w:val="28"/>
        </w:rPr>
        <w:t>§D1  Logging &amp; SIEM Integration</w:t>
      </w:r>
      <w:r>
        <w:rPr>
          <w:b/>
          <w:color w:val="7C3AED"/>
          <w:sz w:val="18"/>
        </w:rPr>
        <w:t xml:space="preserve">  [Day-2]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SIEM platform in use?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Cortex XSIAM / Splunk / Sentinel / QRadar / Elastic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Should AIRS scan events forward to SIEM?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 / TBD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 forwarding method preference?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Syslog / API webhook / Strata Logging Service → SIEM connector / Manual export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Alert thresholds?</w:t>
            </w:r>
            <w:r>
              <w:rPr>
                <w:i/>
                <w:color w:val="888888"/>
                <w:sz w:val="16"/>
              </w:rPr>
              <w:br/>
              <w:t>(e.g., Any Critical finding, Risk score &gt; 7)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 retention requirements?</w:t>
            </w:r>
            <w:r>
              <w:rPr>
                <w:i/>
                <w:color w:val="888888"/>
                <w:sz w:val="16"/>
              </w:rPr>
              <w:br/>
              <w:t>(e.g., 90 days, 1 year, regulatory requirement)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color w:val="00294D"/>
          <w:sz w:val="28"/>
        </w:rPr>
        <w:t>§D2  Ongoing Program Design</w:t>
      </w:r>
      <w:r>
        <w:rPr>
          <w:b/>
          <w:color w:val="7C3AED"/>
          <w:sz w:val="18"/>
        </w:rPr>
        <w:t xml:space="preserve">  [Day-2]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Desired scan cadence after initial engagement?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Weekly / Monthly / Quarterly / On-demand only / Before each release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Should scans integrate into CI/CD pipeline?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gating (block deploy) / Yes — advisory (report only)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CI/CD platform in use?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GitHub Actions / GitLab CI / Jenkins / Azure DevOps / Other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Risk score threshold for automated re-scan trigger?</w:t>
            </w:r>
            <w:r>
              <w:rPr>
                <w:i/>
                <w:color w:val="888888"/>
                <w:sz w:val="16"/>
              </w:rPr>
              <w:br/>
              <w:t>(e.g., re-scan if overall risk &gt; 5)</w:t>
            </w:r>
            <w:r>
              <w:rPr>
                <w:color w:val="006DCC"/>
                <w:sz w:val="16"/>
              </w:rPr>
              <w:t xml:space="preserve">  [number]</w:t>
            </w:r>
          </w:p>
        </w:tc>
        <w:tc>
          <w:tcPr>
            <w:tcW w:type="dxa" w:w="4320"/>
            <w:shd w:fill="F7F8FA" w:val="clear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Go/no-go risk thresholds for deployment decisions?</w:t>
            </w:r>
            <w:r>
              <w:rPr>
                <w:i/>
                <w:color w:val="888888"/>
                <w:sz w:val="16"/>
              </w:rPr>
              <w:br/>
              <w:t>(e.g., No Critical findings, overall risk ≤ 3)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/>
          <w:color w:val="00294D"/>
          <w:sz w:val="28"/>
        </w:rPr>
        <w:t>§D3  Reporting &amp; Distribution</w:t>
      </w:r>
      <w:r>
        <w:rPr>
          <w:b/>
          <w:color w:val="7C3AED"/>
          <w:sz w:val="18"/>
        </w:rPr>
        <w:t xml:space="preserve">  [Day-2]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320"/>
            <w:shd w:fill="00294D" w:val="clear"/>
          </w:tcPr>
          <w:p>
            <w:r/>
            <w:r>
              <w:rPr>
                <w:b/>
                <w:color w:val="FFFFFF"/>
                <w:sz w:val="18"/>
              </w:rPr>
              <w:t>Response / Notes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 recipients (beyond engagement team)?</w:t>
            </w:r>
            <w:r>
              <w:rPr>
                <w:i/>
                <w:color w:val="888888"/>
                <w:sz w:val="16"/>
              </w:rPr>
              <w:br/>
              <w:t>(Name, email, report type (full / executive summary))</w:t>
            </w:r>
            <w:r>
              <w:rPr>
                <w:color w:val="006DCC"/>
                <w:sz w:val="16"/>
              </w:rPr>
              <w:t xml:space="preserve">  [text]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Is an executive summary report required?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/ 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 format preference?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</w:tcPr>
          <w:p>
            <w:r>
              <w:rPr>
                <w:i/>
                <w:color w:val="888888"/>
                <w:sz w:val="18"/>
              </w:rPr>
              <w:t>PDF / HTML / JSON (API) / All formats</w:t>
            </w:r>
          </w:p>
        </w:tc>
      </w:tr>
      <w:tr>
        <w:tc>
          <w:tcPr>
            <w:tcW w:type="dxa" w:w="4320"/>
            <w:shd w:fill="F7F8FA" w:val="clear"/>
          </w:tcPr>
          <w:p>
            <w:r>
              <w:rPr>
                <w:sz w:val="18"/>
              </w:rPr>
              <w:t>Should reports be retained as audit evidence?</w:t>
            </w:r>
            <w:r>
              <w:rPr>
                <w:color w:val="006DCC"/>
                <w:sz w:val="16"/>
              </w:rPr>
              <w:t xml:space="preserve">  [select]</w:t>
            </w:r>
          </w:p>
        </w:tc>
        <w:tc>
          <w:tcPr>
            <w:tcW w:type="dxa" w:w="4320"/>
            <w:shd w:fill="F7F8FA" w:val="clear"/>
          </w:tcPr>
          <w:p>
            <w:r>
              <w:rPr>
                <w:i/>
                <w:color w:val="888888"/>
                <w:sz w:val="18"/>
              </w:rPr>
              <w:t>Yes — regulatory / Yes — internal policy / No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