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94D"/>
          <w:sz w:val="56"/>
        </w:rPr>
        <w:t>AIRS AI Red Teaming</w:t>
      </w:r>
    </w:p>
    <w:p>
      <w:pPr>
        <w:jc w:val="center"/>
      </w:pPr>
      <w:r>
        <w:rPr>
          <w:color w:val="00294D"/>
          <w:sz w:val="36"/>
        </w:rPr>
        <w:t>Technical Requirements Document</w:t>
      </w:r>
    </w:p>
    <w:p>
      <w:pPr>
        <w:jc w:val="center"/>
      </w:pPr>
      <w:r>
        <w:rPr>
          <w:color w:val="666666"/>
          <w:sz w:val="24"/>
        </w:rPr>
        <w:t>Customer Intake Form</w:t>
      </w:r>
    </w:p>
    <w:p>
      <w:pPr>
        <w:jc w:val="center"/>
      </w:pPr>
      <w:r>
        <w:rPr>
          <w:color w:val="333333"/>
          <w:sz w:val="28"/>
        </w:rPr>
        <w:t>Customer: ___________________________________</w:t>
      </w:r>
    </w:p>
    <w:p>
      <w:pPr>
        <w:jc w:val="center"/>
      </w:pPr>
      <w:r>
        <w:rPr>
          <w:color w:val="666666"/>
          <w:sz w:val="24"/>
        </w:rPr>
        <w:t>Date: _______________</w:t>
      </w:r>
    </w:p>
    <w:p>
      <w:pPr>
        <w:jc w:val="center"/>
      </w:pPr>
      <w:r>
        <w:rPr>
          <w:color w:val="666666"/>
          <w:sz w:val="22"/>
        </w:rPr>
        <w:t>Palo Alto Networks Professional Services</w:t>
      </w:r>
    </w:p>
    <w:p>
      <w:r>
        <w:br w:type="page"/>
      </w:r>
    </w:p>
    <w:p>
      <w:r>
        <w:rPr>
          <w:b/>
          <w:color w:val="00294D"/>
          <w:sz w:val="28"/>
        </w:rPr>
        <w:t>How to Use This Document</w:t>
      </w:r>
    </w:p>
    <w:p>
      <w:r>
        <w:rPr>
          <w:b/>
          <w:color w:val="EF4444"/>
          <w:sz w:val="20"/>
        </w:rPr>
        <w:t>*  Required</w:t>
      </w:r>
      <w:r>
        <w:rPr>
          <w:sz w:val="20"/>
        </w:rPr>
        <w:t xml:space="preserve"> — Engagement cannot proceed without this answer.</w:t>
      </w:r>
    </w:p>
    <w:p>
      <w:r>
        <w:rPr>
          <w:b/>
          <w:color w:val="F59E0B"/>
          <w:sz w:val="20"/>
        </w:rPr>
        <w:t>†  Conditional</w:t>
      </w:r>
      <w:r>
        <w:rPr>
          <w:sz w:val="20"/>
        </w:rPr>
        <w:t xml:space="preserve"> — Required only if a prior answer triggers it.</w:t>
      </w:r>
    </w:p>
    <w:p>
      <w:r>
        <w:rPr>
          <w:b/>
          <w:color w:val="333333"/>
          <w:sz w:val="20"/>
        </w:rPr>
        <w:t>(unmarked)  Optional</w:t>
      </w:r>
      <w:r>
        <w:rPr>
          <w:sz w:val="20"/>
        </w:rPr>
        <w:t xml:space="preserve"> — Improves engagement quality but not blocking.</w:t>
      </w:r>
    </w:p>
    <w:p>
      <w:r>
        <w:rPr>
          <w:b/>
        </w:rPr>
        <w:t>Part A</w:t>
      </w:r>
      <w:r>
        <w:t xml:space="preserve"> is completed once per customer. </w:t>
      </w:r>
      <w:r>
        <w:rPr>
          <w:b/>
        </w:rPr>
        <w:t>Part B</w:t>
      </w:r>
      <w:r>
        <w:t xml:space="preserve"> once per engagement. </w:t>
      </w:r>
      <w:r>
        <w:rPr>
          <w:b/>
        </w:rPr>
        <w:t>Part C</w:t>
      </w:r>
      <w:r>
        <w:t xml:space="preserve"> is repeated for each target or target group.</w:t>
      </w:r>
    </w:p>
    <w:p>
      <w:r>
        <w:br w:type="page"/>
      </w:r>
    </w:p>
    <w:p>
      <w:r>
        <w:rPr>
          <w:b/>
          <w:color w:val="00294D"/>
          <w:sz w:val="36"/>
        </w:rPr>
        <w:t>Part A — Engagement Context</w:t>
      </w:r>
    </w:p>
    <w:p>
      <w:r>
        <w:rPr>
          <w:i/>
          <w:color w:val="666666"/>
          <w:sz w:val="20"/>
        </w:rPr>
        <w:t>Asked once per customer</w:t>
      </w:r>
    </w:p>
    <w:p/>
    <w:p>
      <w:r>
        <w:rPr>
          <w:b/>
          <w:color w:val="00294D"/>
          <w:sz w:val="28"/>
        </w:rPr>
        <w:t>§1  Engagement Overview</w:t>
      </w:r>
      <w:r>
        <w:rPr>
          <w:b/>
          <w:color w:val="22C55E"/>
          <w:sz w:val="18"/>
        </w:rPr>
        <w:t xml:space="preserve">  [Scoping]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Customer name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Primary business driver for AI red teaming?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Pre-deployment security validation / Compliance requirement / Risk assessment / Incident response / Other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What does success look like for this engagement?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Target start date</w:t>
            </w:r>
            <w:r>
              <w:rPr>
                <w:color w:val="006DCC"/>
                <w:sz w:val="16"/>
              </w:rPr>
              <w:t xml:space="preserve">  [date]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Desired completion date</w:t>
            </w:r>
            <w:r>
              <w:rPr>
                <w:color w:val="006DCC"/>
                <w:sz w:val="16"/>
              </w:rPr>
              <w:t xml:space="preserve">  [date]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sz w:val="22"/>
        </w:rPr>
        <w:t>Stakeholder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Project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Technical lead (AI/ML)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Security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CSP portal admin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color w:val="00294D"/>
          <w:sz w:val="28"/>
        </w:rPr>
        <w:t>§2  Target Overview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Drives Part C 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Application Name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Hosting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</w:tbl>
    <w:p>
      <w:r>
        <w:rPr>
          <w:b/>
          <w:color w:val="00294D"/>
          <w:sz w:val="28"/>
        </w:rPr>
        <w:t>§3  Compliance Requirements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Step 6.2 (category selection)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Which compliance frameworks must scan results map to?</w:t>
            </w:r>
            <w:r>
              <w:rPr>
                <w:color w:val="006DCC"/>
                <w:sz w:val="16"/>
              </w:rPr>
              <w:t xml:space="preserve">  [multi-select]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OWASP LLM Top 10 / MITRE ATLAS / NIST AI RMF / DASF V2.0 / None specific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Are compliance-mapped reports required for auditors or regulators?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auditor delivery / Yes — internal compliance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Industry-specific AI regulations that apply?</w:t>
            </w:r>
            <w:r>
              <w:rPr>
                <w:i/>
                <w:color w:val="888888"/>
                <w:sz w:val="16"/>
              </w:rPr>
              <w:br/>
              <w:t>(e.g., EU AI Act, FDA AI/ML guidance, FFIEC)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294D"/>
          <w:sz w:val="28"/>
        </w:rPr>
        <w:t>§4  Remediation Expectations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Step 8.3 (remediation review)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Will Red Teaming findings feed into AIRS Runtime for real-time protection?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— RT→Runtime bridge planned / Under evaluation / No — findings for manual remediation only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Who will implement remediation for discovered vulnerabilities?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Customer AI/ML team / Customer security team / Palo Alto Networks PS / Joint effort</w:t>
            </w:r>
          </w:p>
        </w:tc>
      </w:tr>
    </w:tbl>
    <w:p>
      <w:r>
        <w:br w:type="page"/>
      </w:r>
    </w:p>
    <w:p>
      <w:r>
        <w:rPr>
          <w:b/>
          <w:color w:val="00294D"/>
          <w:sz w:val="36"/>
        </w:rPr>
        <w:t>Part B — Platform Configuration</w:t>
      </w:r>
    </w:p>
    <w:p>
      <w:r>
        <w:rPr>
          <w:i/>
          <w:color w:val="666666"/>
          <w:sz w:val="20"/>
        </w:rPr>
        <w:t>Asked once per engagement</w:t>
      </w:r>
    </w:p>
    <w:p/>
    <w:p>
      <w:r>
        <w:rPr>
          <w:b/>
          <w:color w:val="00294D"/>
          <w:sz w:val="28"/>
        </w:rPr>
        <w:t>§5  Licensing &amp; Credits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3.1 (Create Deployment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CSP admin email (with credit allocation permissions)</w:t>
            </w:r>
            <w:r>
              <w:rPr>
                <w:color w:val="006DCC"/>
                <w:sz w:val="16"/>
              </w:rPr>
              <w:t xml:space="preserve">  [email]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Total credits in customer's AIRS pool?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Credits allocated specifically for AI Red Teaming?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Are credits shared with other AIRS products (Runtime, Model Security)?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shared pool / No — dedicated RT allocation</w:t>
            </w:r>
          </w:p>
        </w:tc>
      </w:tr>
    </w:tbl>
    <w:p>
      <w:r>
        <w:rPr>
          <w:b/>
          <w:color w:val="00294D"/>
          <w:sz w:val="28"/>
        </w:rPr>
        <w:t>§6  Tenant &amp; TSG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3.1 (Create Deployment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Does a Tenant Service Group (TSG) already exist, or will one be created?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Existing TSG / Create new TSG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existing: TSG ID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Preferred region for the AIRS deployment profile?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Americas / EU / Singapore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Is Strata Logging Service (SLS) enabled on this tenant?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Does the tenant have an existing AIOps subscription?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</w:tbl>
    <w:p>
      <w:r>
        <w:rPr>
          <w:b/>
          <w:color w:val="00294D"/>
          <w:sz w:val="28"/>
        </w:rPr>
        <w:t>§7  Access &amp; Identity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3.2 (Configure IAM)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Which RBAC roles are needed for the engagement?</w:t>
            </w:r>
            <w:r>
              <w:rPr>
                <w:color w:val="006DCC"/>
                <w:sz w:val="16"/>
              </w:rPr>
              <w:t xml:space="preserve">  [multi-select]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Superuser / Custom role with "AI Red Teaming" enabled / Read-only for stakeholders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Is a service account needed for API or CI/CD access?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TBD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Does the customer use SSO / IdP for SCM access?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Okta / Entra ID (Azure AD) / Ping Identity / Google Workspace / No SSO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How many users need SCM access for this engagement?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r>
        <w:rPr>
          <w:b/>
          <w:color w:val="00294D"/>
          <w:sz w:val="28"/>
        </w:rPr>
        <w:t>§8  Network &amp; Connectivity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Phase 5 decision (skip or deploy Network Channel)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Are the target endpoints publicly accessible from the internet?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All public / All private / Mix of public and private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private: is a Kubernetes cluster available for the Network Channel client?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managed K8s (EKS/AKS/GKE) / Yes — self-managed K8s / No K8s available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K8s: does the cluster have outbound internet access?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— air-gapped / Restricted (proxy/allowlist)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Is there a WAF or API gateway in the request path to any target?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WAF present: desired testing strategy?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Whitelist AIRS source IPs / Bypass WAF (test app directly) / Test full stack including WAF</w:t>
            </w:r>
          </w:p>
        </w:tc>
      </w:tr>
    </w:tbl>
    <w:p>
      <w:r>
        <w:rPr>
          <w:b/>
          <w:color w:val="00294D"/>
          <w:sz w:val="28"/>
        </w:rPr>
        <w:t>§9  Engagement Sizing</w:t>
      </w:r>
      <w:r>
        <w:rPr>
          <w:b/>
          <w:color w:val="22C55E"/>
          <w:sz w:val="18"/>
        </w:rPr>
        <w:t xml:space="preserve">  [Scoping]</w:t>
      </w:r>
    </w:p>
    <w:p>
      <w:r>
        <w:rPr>
          <w:i/>
          <w:color w:val="006DCC"/>
          <w:sz w:val="18"/>
        </w:rPr>
        <w:t>Feeds: Calculated from §2, §5, §8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package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Starter (1 target) / Standard (up to 3) / Advanced (up to 5 + Network Channel) / Enterprise (5+ custom)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Add-on: Network Channel deployment?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Add-on: REST wrapper development?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Add-on: CI/CD pipeline integration?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Add-on: Custom attack development?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</w:tbl>
    <w:p>
      <w:r>
        <w:br w:type="page"/>
      </w:r>
    </w:p>
    <w:p>
      <w:r>
        <w:rPr>
          <w:b/>
          <w:color w:val="00294D"/>
          <w:sz w:val="36"/>
        </w:rPr>
        <w:t>Part C — Per-Target Configuration</w:t>
      </w:r>
    </w:p>
    <w:p>
      <w:r>
        <w:rPr>
          <w:i/>
          <w:color w:val="666666"/>
          <w:sz w:val="20"/>
        </w:rPr>
        <w:t>Repeated for each target. Duplicate this tab for additional targets.</w:t>
      </w:r>
    </w:p>
    <w:p/>
    <w:p>
      <w:r>
        <w:rPr>
          <w:b/>
          <w:color w:val="00294D"/>
          <w:sz w:val="28"/>
        </w:rPr>
        <w:t>§10  Target Architecture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4.2 (Add Target) + Step 4.3 (Configure Details)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Application name (human-readable)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Target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MODEL / APPLICATION /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Inference provider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OPENAI / AZURE_OPENAI / BEDROCK / VERTEX / HUGGINGFACE / REST (custom)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Base model</w:t>
            </w:r>
            <w:r>
              <w:rPr>
                <w:i/>
                <w:color w:val="888888"/>
                <w:sz w:val="16"/>
              </w:rPr>
              <w:br/>
              <w:t>(e.g., GPT-4o, Claude 3.5, Gemini 2.0, Llama 3.1)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architecture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Single LLM / RAG (retrieval-augmented) / Tool Calling / Multi-Agent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Industry (required for Application and Agent types)</w:t>
            </w:r>
            <w:r>
              <w:rPr>
                <w:i/>
                <w:color w:val="888888"/>
                <w:sz w:val="16"/>
              </w:rPr>
              <w:br/>
              <w:t>(e.g., Financial services, Healthcare, Technology)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Use case description</w:t>
            </w:r>
            <w:r>
              <w:rPr>
                <w:i/>
                <w:color w:val="888888"/>
                <w:sz w:val="16"/>
              </w:rPr>
              <w:br/>
              <w:t>(e.g., Customer support chatbot for insurance claims)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Competitor names (for brand reputation attacks)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prompt (enables white-box testing)</w:t>
            </w:r>
            <w:r>
              <w:rPr>
                <w:i/>
                <w:color w:val="888888"/>
                <w:sz w:val="16"/>
              </w:rPr>
              <w:br/>
              <w:t>(Paste or attach the full system prompt)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Tools accessible (Agent targets only — provide tool schemas)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r>
        <w:rPr>
          <w:b/>
          <w:color w:val="00294D"/>
          <w:sz w:val="28"/>
        </w:rPr>
        <w:t>§11  Risk Priority Matrix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Step 6.2 (Configure Scan Categories)</w:t>
      </w:r>
    </w:p>
    <w:p>
      <w:r>
        <w:rPr>
          <w:b/>
          <w:color w:val="00294D"/>
          <w:sz w:val="22"/>
        </w:rPr>
        <w:t>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Adversarial Suffix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Evasion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Indirect Prompt Injection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Jailbreak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Multi-Turn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Remote Code Execution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System Prompt Leak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 Leak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  <w:color w:val="00294D"/>
          <w:sz w:val="22"/>
        </w:rPr>
        <w:t>Safety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Bias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CBRN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Cybercrime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Drugs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Non-Violent Crimes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Political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Self-Harm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Sexual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Violent Crimes &amp; Weapons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  <w:color w:val="00294D"/>
          <w:sz w:val="22"/>
        </w:rPr>
        <w:t>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OWASP LLM Top 10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MITRE ATLAS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NIST AI RMF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DASF V2.0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</w:tbl>
    <w:p>
      <w:r>
        <w:rPr>
          <w:b/>
          <w:color w:val="00294D"/>
          <w:sz w:val="22"/>
        </w:rPr>
        <w:t>Brand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Off-Brand Responses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Competitor Endorsement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Misinformation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Tone Inconsistency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</w:tbl>
    <w:p>
      <w:r>
        <w:rPr>
          <w:b/>
          <w:color w:val="00294D"/>
          <w:sz w:val="28"/>
        </w:rPr>
        <w:t>§12  Connection &amp; Auth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4.2 (Add Target)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Connection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OPENAI / AZURE_OPENAI / BEDROCK / VERTEX / HUGGINGFACE / REST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URL</w:t>
            </w:r>
            <w:r>
              <w:rPr>
                <w:color w:val="006DCC"/>
                <w:sz w:val="16"/>
              </w:rPr>
              <w:t xml:space="preserve">  [url]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accessibility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PUBLIC / PRIVATE / NETWORK_BROKER (API-only)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Authentication method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HEADERS (API key) / BASIC_AUTH / OAUTH2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 credentials (API key, token, or OAuth config)</w:t>
            </w:r>
            <w:r>
              <w:rPr>
                <w:i/>
                <w:color w:val="888888"/>
                <w:sz w:val="16"/>
              </w:rPr>
              <w:br/>
              <w:t>(Provide securely — do not include in shared documents)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Token/credential expiry period?</w:t>
            </w:r>
            <w:r>
              <w:rPr>
                <w:i/>
                <w:color w:val="888888"/>
                <w:sz w:val="16"/>
              </w:rPr>
              <w:br/>
              <w:t>(e.g., 1 hour, 24 hours, no expiry)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protocol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REST (default) / WebSocket / gRPC / Socket.IO / GraphQL</w:t>
            </w:r>
          </w:p>
        </w:tc>
      </w:tr>
    </w:tbl>
    <w:p>
      <w:r>
        <w:rPr>
          <w:b/>
          <w:color w:val="00294D"/>
          <w:sz w:val="28"/>
        </w:rPr>
        <w:t>§13  Rate Limits &amp; Capacity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4.3 + scan execution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Requests per minute (RPM) limit?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Tokens per minute (TPM) limit?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Tokens per day (TPD) limit?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Maximum concurrent requests?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Maximum input tokens per request?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Maximum output tokens per request?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r>
        <w:rPr>
          <w:b/>
          <w:color w:val="00294D"/>
          <w:sz w:val="28"/>
        </w:rPr>
        <w:t>§14  Guardrail Detection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4.3 (Configure Details)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Does the target have guardrails (content filters, safety layers)?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HTTP status code returned when a guardrail blocks a request?</w:t>
            </w:r>
            <w:r>
              <w:rPr>
                <w:i/>
                <w:color w:val="888888"/>
                <w:sz w:val="16"/>
              </w:rPr>
              <w:br/>
              <w:t>(e.g., 400, 403, 200 (with error in body))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Sample error response JSON when a guardrail blocks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Guardrail technology in use?</w:t>
            </w:r>
            <w:r>
              <w:rPr>
                <w:i/>
                <w:color w:val="888888"/>
                <w:sz w:val="16"/>
              </w:rPr>
              <w:br/>
              <w:t>(e.g., Azure Content Safety, OpenAI moderation, custom, AIRS Runtime)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r>
        <w:rPr>
          <w:b/>
          <w:color w:val="00294D"/>
          <w:sz w:val="28"/>
        </w:rPr>
        <w:t>§15  Environment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Result validity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Which environment will be tested?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Production / Staging / Development / Dedicated test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Does this environment use the same model and config as production?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identical / Mostly — same model, different guardrails / No — different model or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 scanning production directly acceptable?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/ Only during maintenance windows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Maintenance window (if applicable)?</w:t>
            </w:r>
            <w:r>
              <w:rPr>
                <w:i/>
                <w:color w:val="888888"/>
                <w:sz w:val="16"/>
              </w:rPr>
              <w:br/>
              <w:t>(e.g., Saturdays 2am–6am UTC)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r>
        <w:rPr>
          <w:b/>
          <w:color w:val="00294D"/>
          <w:sz w:val="28"/>
        </w:rPr>
        <w:t>§16  REST Wrapper (if non-REST protocol)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Conditional: only if non-REST protocol in §12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Native protocol of the target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WebSocket / gRPC / Socket.IO / GraphQL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Preferred language for the wrapper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Python / Node.js / Go / Java / Customer provides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Does the target use streaming responses?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— SSE / Yes — chunked / No — single response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streaming: how should chunks be aggregated?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Concatenate all chunks / Use last chunk / Use first chunk with [DONE] / Custom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Where will the wrapper be hosted?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Same K8s cluster as Network Channel / Separate VM / Serverless (Lambda/Cloud Function) / Customer hosts</w:t>
            </w:r>
          </w:p>
        </w:tc>
      </w:tr>
    </w:tbl>
    <w:p>
      <w:r>
        <w:rPr>
          <w:b/>
          <w:color w:val="00294D"/>
          <w:sz w:val="28"/>
        </w:rPr>
        <w:t>§17  Scan Strategy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Steps 6.3–6.5 (Start Scans)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Which scan types will be executed?</w:t>
            </w:r>
            <w:r>
              <w:rPr>
                <w:color w:val="006DCC"/>
                <w:sz w:val="16"/>
              </w:rPr>
              <w:t xml:space="preserve">  [multi-select]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Attack Library (STATIC) / Dynamic Agent (DYNAMIC) / Custom Prompt (CUSTOM)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Recommended scan order?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Attack Library first (baseline) → Dynamic → Custom / Dynamic first (rapid) → Attack Library / Custom only (targeted)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breadth (1–20, default 6)</w:t>
            </w:r>
            <w:r>
              <w:rPr>
                <w:i/>
                <w:color w:val="888888"/>
                <w:sz w:val="16"/>
              </w:rPr>
              <w:br/>
              <w:t>(More agents = more diverse attack approaches)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Agent depth (1–20, default 10)</w:t>
            </w:r>
            <w:r>
              <w:rPr>
                <w:i/>
                <w:color w:val="888888"/>
                <w:sz w:val="16"/>
              </w:rPr>
              <w:br/>
              <w:t>(More depth = longer multi-turn attacks)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Attack goals (for Human Augmented mode)</w:t>
            </w:r>
            <w:r>
              <w:rPr>
                <w:i/>
                <w:color w:val="888888"/>
                <w:sz w:val="16"/>
              </w:rPr>
              <w:br/>
              <w:t>(e.g., "Extract the system prompt", "Make the bot recommend a competitor")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Custom prompt source?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Customer-provided prompt set / Consultant-developed / Industry-specific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Number of custom prompts planned?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294D"/>
          <w:sz w:val="28"/>
        </w:rPr>
        <w:t>§18  Target Specification (API Payload)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4.2 — POST /v1/target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Name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Target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MODEL / APPLICATION /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Connection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OPENAI / AZURE_OPENAI / BEDROCK / VERTEX / HUGGINGFACE / REST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URL</w:t>
            </w:r>
            <w:r>
              <w:rPr>
                <w:color w:val="006DCC"/>
                <w:sz w:val="16"/>
              </w:rPr>
              <w:t xml:space="preserve">  [url]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PUBLIC / PRIVATE / NETWORK_BROKER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HEADERS / BASIC_AUTH / OAUTH2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 Config (provide securely)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Request template body (must contain {{prompt}})</w:t>
            </w:r>
            <w:r>
              <w:rPr>
                <w:i/>
                <w:color w:val="888888"/>
                <w:sz w:val="16"/>
              </w:rPr>
              <w:br/>
              <w:t>(See example in consultant version)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Response body path</w:t>
            </w:r>
            <w:r>
              <w:rPr>
                <w:i/>
                <w:color w:val="888888"/>
                <w:sz w:val="16"/>
              </w:rPr>
              <w:br/>
              <w:t>(e.g., choices[0].message.content)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HTTP Method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POST / GET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Industry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Use Case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Competitors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Base Model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Prompt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Tools Accessible (Agent only)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Architecture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Single LLM / RAG / Tool Calling / Multi-Agent</w:t>
            </w:r>
          </w:p>
        </w:tc>
      </w:tr>
    </w:tbl>
    <w:p>
      <w:r>
        <w:br w:type="page"/>
      </w:r>
    </w:p>
    <w:p>
      <w:r>
        <w:rPr>
          <w:b/>
          <w:color w:val="00294D"/>
          <w:sz w:val="36"/>
        </w:rPr>
        <w:t>Day-2 Appendix</w:t>
      </w:r>
    </w:p>
    <w:p>
      <w:r>
        <w:rPr>
          <w:i/>
          <w:color w:val="666666"/>
          <w:sz w:val="20"/>
        </w:rPr>
        <w:t>Optional — address after first scan cycle</w:t>
      </w:r>
    </w:p>
    <w:p/>
    <w:p>
      <w:r>
        <w:rPr>
          <w:b/>
          <w:color w:val="00294D"/>
          <w:sz w:val="28"/>
        </w:rPr>
        <w:t>§D1  Logging &amp; SIEM Integration</w:t>
      </w:r>
      <w:r>
        <w:rPr>
          <w:b/>
          <w:color w:val="7C3AED"/>
          <w:sz w:val="18"/>
        </w:rPr>
        <w:t xml:space="preserve">  [Day-2]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SIEM platform in use?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Cortex XSIAM / Splunk / Sentinel / QRadar / Elastic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Should AIRS scan events forward to SIEM?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TBD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 forwarding method preference?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Syslog / API webhook / Strata Logging Service → SIEM connector / Manual export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Alert thresholds?</w:t>
            </w:r>
            <w:r>
              <w:rPr>
                <w:i/>
                <w:color w:val="888888"/>
                <w:sz w:val="16"/>
              </w:rPr>
              <w:br/>
              <w:t>(e.g., Any Critical finding, Risk score &gt; 7)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 retention requirements?</w:t>
            </w:r>
            <w:r>
              <w:rPr>
                <w:i/>
                <w:color w:val="888888"/>
                <w:sz w:val="16"/>
              </w:rPr>
              <w:br/>
              <w:t>(e.g., 90 days, 1 year, regulatory requirement)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294D"/>
          <w:sz w:val="28"/>
        </w:rPr>
        <w:t>§D2  Ongoing Program Design</w:t>
      </w:r>
      <w:r>
        <w:rPr>
          <w:b/>
          <w:color w:val="7C3AED"/>
          <w:sz w:val="18"/>
        </w:rPr>
        <w:t xml:space="preserve">  [Day-2]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Desired scan cadence after initial engagement?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Weekly / Monthly / Quarterly / On-demand only / Before each release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Should scans integrate into CI/CD pipeline?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gating (block deploy) / Yes — advisory (report only)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 platform in use?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GitHub Actions / GitLab CI / Jenkins / Azure DevOps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Risk score threshold for automated re-scan trigger?</w:t>
            </w:r>
            <w:r>
              <w:rPr>
                <w:i/>
                <w:color w:val="888888"/>
                <w:sz w:val="16"/>
              </w:rPr>
              <w:br/>
              <w:t>(e.g., re-scan if overall risk &gt; 5)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Go/no-go risk thresholds for deployment decisions?</w:t>
            </w:r>
            <w:r>
              <w:rPr>
                <w:i/>
                <w:color w:val="888888"/>
                <w:sz w:val="16"/>
              </w:rPr>
              <w:br/>
              <w:t>(e.g., No Critical findings, overall risk ≤ 3)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294D"/>
          <w:sz w:val="28"/>
        </w:rPr>
        <w:t>§D3  Reporting &amp; Distribution</w:t>
      </w:r>
      <w:r>
        <w:rPr>
          <w:b/>
          <w:color w:val="7C3AED"/>
          <w:sz w:val="18"/>
        </w:rPr>
        <w:t xml:space="preserve">  [Day-2]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recipients (beyond engagement team)?</w:t>
            </w:r>
            <w:r>
              <w:rPr>
                <w:i/>
                <w:color w:val="888888"/>
                <w:sz w:val="16"/>
              </w:rPr>
              <w:br/>
              <w:t>(Name, email, report type (full / executive summary))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Is an executive summary report required?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format preference?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PDF / HTML / JSON (API) / All formats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Should reports be retained as audit evidence?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regulatory / Yes — internal policy / No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