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6"/>
        </w:rPr>
        <w:t>MICHAEL GEORGE</w:t>
      </w:r>
    </w:p>
    <w:p>
      <w:pPr>
        <w:spacing w:after="200"/>
        <w:pBdr>
          <w:bottom w:val="single" w:sz="6" w:space="6" w:color="000000"/>
        </w:pBdr>
      </w:pPr>
      <w:r>
        <w:rPr>
          <w:sz w:val="18"/>
        </w:rPr>
        <w:t>Columbus, Ohio  |  mdgmikegeorgej@gmail.com  |  330-313-5604  |  linkedin.com/in/michael-george-02866411</w:t>
      </w:r>
    </w:p>
    <w:p>
      <w:pPr>
        <w:spacing w:after="220"/>
      </w:pPr>
      <w:r>
        <w:rPr>
          <w:b/>
        </w:rPr>
        <w:t>Re: Senior Technical Consultant, Modern Data Center — Azure Local &amp; Hyper-V</w:t>
      </w:r>
    </w:p>
    <w:p>
      <w:pPr>
        <w:spacing w:after="200"/>
      </w:pPr>
      <w:r>
        <w:rPr>
          <w:b w:val="0"/>
        </w:rPr>
        <w:t>Dear AHEAD Hiring Team,</w:t>
      </w:r>
    </w:p>
    <w:p>
      <w:pPr>
        <w:spacing w:after="200"/>
      </w:pPr>
      <w:r>
        <w:rPr>
          <w:b w:val="0"/>
        </w:rPr>
        <w:t>I led my company's migration off VMware onto Hyper-V, and I run hyper-converged hosts on Storage Spaces Direct today. That covers a good share of what this role is asking for, so I'll be direct about both what I bring and what I don't.</w:t>
      </w:r>
    </w:p>
    <w:p>
      <w:pPr>
        <w:spacing w:after="200"/>
      </w:pPr>
      <w:r>
        <w:rPr>
          <w:b w:val="0"/>
        </w:rPr>
        <w:t>At Overhead Door Corporation I manage 500+ Windows and Linux servers across Hyper-V, VMware, and Nutanix, spread over multiple physical sites. I planned and executed the VMware-to-Hyper-V migration without interrupting production. I built the hyper-converged Storage Spaces Direct hosts and the failover clusters behind our high-availability workloads, standardized day-to-day management on Windows Admin Center, and automate the estate in PowerShell — including certificate issuance and renewal across Windows, F5 BIG-IP, and Oracle Cloud Infrastructure. I own Active Directory, DNS, and Group Policy end to end, and I converted our WAN from MPLS to SD-WAN.</w:t>
      </w:r>
    </w:p>
    <w:p>
      <w:pPr>
        <w:spacing w:after="200"/>
      </w:pPr>
      <w:r>
        <w:rPr>
          <w:b w:val="0"/>
        </w:rPr>
        <w:t>The gap, stated plainly: I have not deployed Azure Local itself. I have the substrate — Storage Spaces Direct, failover clustering, Windows Admin Center, Azure IaaS — but not the Arc registration, Network ATC, and cluster validation layer on top of it. That's a defined body of work rather than a new discipline, and it's the first thing I'd close. I'd rather say so here than have it surface in a technical screen.</w:t>
      </w:r>
    </w:p>
    <w:p>
      <w:pPr>
        <w:spacing w:after="200"/>
      </w:pPr>
      <w:r>
        <w:rPr>
          <w:b w:val="0"/>
        </w:rPr>
        <w:t>I've also worked this from the delivery side. At Smart Shared Services I ran client engagements as the voice engineering lead — readiness assessments, designs, migrations, and the documentation and knowledge transfer clients needed to operate what I built. Before that I spent six years as IT Director at Village Communities, owning the budget and vendor relationships and running a JD Edwards EnterpriseOne conversion alongside the CFO. Consulting delivery and talking to executives about risk and dependencies aren't new territory.</w:t>
      </w:r>
    </w:p>
    <w:p>
      <w:pPr>
        <w:spacing w:after="200"/>
      </w:pPr>
      <w:r>
        <w:rPr>
          <w:b w:val="0"/>
        </w:rPr>
        <w:t>One last thing, because your posting mentions it in three separate places: documentation is the part of this work I'm known for. Runbooks, as-builts, and migration procedures are usually the first thing to get skipped under schedule pressure, and they're the reason a handoff either holds or doesn't.</w:t>
      </w:r>
    </w:p>
    <w:p>
      <w:pPr>
        <w:spacing w:after="200"/>
      </w:pPr>
      <w:r>
        <w:rPr>
          <w:b w:val="0"/>
        </w:rPr>
        <w:t>I'd welcome the conversation.</w:t>
      </w:r>
    </w:p>
    <w:p>
      <w:pPr>
        <w:spacing w:after="0"/>
      </w:pPr>
      <w:r>
        <w:rPr>
          <w:b w:val="0"/>
        </w:rPr>
        <w:t>Michael George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