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Arial" w:cs="Arial" w:eastAsia="Arial" w:hAnsi="Arial"/>
          <w:b/>
          <w:bCs/>
          <w:color w:val="024DA1"/>
          <w:sz w:val="52"/>
          <w:szCs w:val="52"/>
        </w:rPr>
        <w:t xml:space="preserve">Nutanix Cluster</w:t>
      </w:r>
    </w:p>
    <w:p>
      <w:pPr>
        <w:spacing w:after="120"/>
        <w:jc w:val="center"/>
      </w:pPr>
      <w:r>
        <w:rPr>
          <w:rFonts w:ascii="Arial" w:cs="Arial" w:eastAsia="Arial" w:hAnsi="Arial"/>
          <w:color w:val="1A6FC4"/>
          <w:sz w:val="40"/>
          <w:szCs w:val="40"/>
        </w:rPr>
        <w:t xml:space="preserve">Inventory &amp; Health Report</w:t>
      </w:r>
    </w:p>
    <w:p/>
    <w:p>
      <w:pPr>
        <w:jc w:val="center"/>
      </w:pPr>
      <w:r>
        <w:rPr>
          <w:rFonts w:ascii="Arial" w:cs="Arial" w:eastAsia="Arial" w:hAnsi="Arial"/>
          <w:color w:val="666666"/>
          <w:sz w:val="26"/>
          <w:szCs w:val="26"/>
        </w:rPr>
        <w:t xml:space="preserve">Planning &amp; Architecture Document</w:t>
      </w:r>
    </w:p>
    <w:p>
      <w:pPr>
        <w:jc w:val="center"/>
      </w:pPr>
      <w:r>
        <w:rPr>
          <w:rFonts w:ascii="Arial" w:cs="Arial" w:eastAsia="Arial" w:hAnsi="Arial"/>
          <w:i/>
          <w:iCs/>
          <w:color w:val="888888"/>
          <w:sz w:val="22"/>
          <w:szCs w:val="22"/>
        </w:rPr>
        <w:t xml:space="preserve">For New Conversation Kickoff</w:t>
      </w:r>
    </w:p>
    <w:p/>
    <w:p/>
    <w:p/>
    <w:p>
      <w:pPr>
        <w:jc w:val="center"/>
      </w:pPr>
      <w:r>
        <w:rPr>
          <w:rFonts w:ascii="Arial" w:cs="Arial" w:eastAsia="Arial" w:hAnsi="Arial"/>
          <w:color w:val="888888"/>
          <w:sz w:val="22"/>
          <w:szCs w:val="22"/>
        </w:rPr>
        <w:t xml:space="preserve">Version 1.0 | February 2026</w:t>
      </w:r>
    </w:p>
    <w:p>
      <w:r>
        <w:br w:type="page"/>
      </w:r>
    </w:p>
    <w:p>
      <w:pPr>
        <w:pStyle w:val="Heading1"/>
        <w:spacing w:after="120"/>
      </w:pPr>
      <w:r>
        <w:rPr>
          <w:rFonts w:ascii="Arial" w:cs="Arial" w:eastAsia="Arial" w:hAnsi="Arial"/>
          <w:b/>
          <w:bCs/>
          <w:sz w:val="22"/>
          <w:szCs w:val="22"/>
        </w:rPr>
        <w:t xml:space="preserve">1. Executive Summary</w:t>
      </w:r>
    </w:p>
    <w:p>
      <w:pPr>
        <w:spacing w:after="120"/>
      </w:pPr>
      <w:r>
        <w:rPr>
          <w:rFonts w:ascii="Arial" w:cs="Arial" w:eastAsia="Arial" w:hAnsi="Arial"/>
          <w:sz w:val="22"/>
          <w:szCs w:val="22"/>
        </w:rPr>
        <w:t xml:space="preserve">This document provides complete context for building a Nutanix cluster inventory and health report. The goal is to collect the same categories of information as the Hyper-V Inventory Report (v3.0.x) -- VMs, hosts, storage, networking, security, applications -- but from a Nutanix AHV/AOS environment instead of a Windows Hyper-V environment.</w:t>
      </w:r>
    </w:p>
    <w:p/>
    <w:p>
      <w:pPr>
        <w:spacing w:after="120"/>
      </w:pPr>
      <w:r>
        <w:rPr>
          <w:rFonts w:ascii="Arial" w:cs="Arial" w:eastAsia="Arial" w:hAnsi="Arial"/>
          <w:sz w:val="22"/>
          <w:szCs w:val="22"/>
        </w:rPr>
        <w:t xml:space="preserve">The Nutanix platform provides two primary API interfaces for automation:</w:t>
      </w:r>
    </w:p>
    <w:p>
      <w:pPr>
        <w:pStyle w:val="ListParagraph"/>
        <w:numPr>
          <w:ilvl w:val="0"/>
          <w:numId w:val="2"/>
        </w:numPr>
      </w:pPr>
      <w:r>
        <w:rPr>
          <w:rFonts w:ascii="Arial" w:cs="Arial" w:eastAsia="Arial" w:hAnsi="Arial"/>
          <w:sz w:val="22"/>
          <w:szCs w:val="22"/>
        </w:rPr>
        <w:t xml:space="preserve">Prism Central REST API v3 (preferred) -- centralized management for multi-cluster environments</w:t>
      </w:r>
    </w:p>
    <w:p>
      <w:pPr>
        <w:pStyle w:val="ListParagraph"/>
        <w:numPr>
          <w:ilvl w:val="0"/>
          <w:numId w:val="2"/>
        </w:numPr>
      </w:pPr>
      <w:r>
        <w:rPr>
          <w:rFonts w:ascii="Arial" w:cs="Arial" w:eastAsia="Arial" w:hAnsi="Arial"/>
          <w:sz w:val="22"/>
          <w:szCs w:val="22"/>
        </w:rPr>
        <w:t xml:space="preserve">Prism Element REST API v2 -- per-cluster management, direct node access</w:t>
      </w:r>
    </w:p>
    <w:p>
      <w:pPr>
        <w:pStyle w:val="ListParagraph"/>
        <w:numPr>
          <w:ilvl w:val="0"/>
          <w:numId w:val="2"/>
        </w:numPr>
      </w:pPr>
      <w:r>
        <w:rPr>
          <w:rFonts w:ascii="Arial" w:cs="Arial" w:eastAsia="Arial" w:hAnsi="Arial"/>
          <w:sz w:val="22"/>
          <w:szCs w:val="22"/>
        </w:rPr>
        <w:t xml:space="preserve">Nutanix PowerShell cmdlets (Nutanix.Cli module) -- PS wrapper around REST APIs</w:t>
      </w:r>
    </w:p>
    <w:p/>
    <w:p>
      <w:pPr>
        <w:spacing w:after="120"/>
      </w:pPr>
      <w:r>
        <w:rPr>
          <w:rFonts w:ascii="Arial" w:cs="Arial" w:eastAsia="Arial" w:hAnsi="Arial"/>
          <w:sz w:val="22"/>
          <w:szCs w:val="22"/>
        </w:rPr>
        <w:t xml:space="preserve">The recommended approach is the REST API consumed via PowerShell Invoke-RestMethod, as this avoids module dependency issues and works in both PS 5.1 and PS 7.</w:t>
      </w:r>
    </w:p>
    <w:p>
      <w:r>
        <w:br w:type="page"/>
      </w:r>
    </w:p>
    <w:p>
      <w:pPr>
        <w:pStyle w:val="Heading1"/>
        <w:spacing w:after="120"/>
      </w:pPr>
      <w:r>
        <w:rPr>
          <w:rFonts w:ascii="Arial" w:cs="Arial" w:eastAsia="Arial" w:hAnsi="Arial"/>
          <w:b/>
          <w:bCs/>
          <w:sz w:val="22"/>
          <w:szCs w:val="22"/>
        </w:rPr>
        <w:t xml:space="preserve">2. Nutanix API Access Methods</w:t>
      </w:r>
    </w:p>
    <w:p>
      <w:pPr>
        <w:pStyle w:val="Heading2"/>
        <w:spacing w:after="120"/>
      </w:pPr>
      <w:r>
        <w:rPr>
          <w:rFonts w:ascii="Arial" w:cs="Arial" w:eastAsia="Arial" w:hAnsi="Arial"/>
          <w:b/>
          <w:bCs/>
          <w:sz w:val="22"/>
          <w:szCs w:val="22"/>
        </w:rPr>
        <w:t xml:space="preserve">2.1 Option A: Prism Central REST API v3 (Recommended)</w:t>
      </w:r>
    </w:p>
    <w:p>
      <w:pPr>
        <w:spacing w:after="120"/>
      </w:pPr>
      <w:r>
        <w:rPr>
          <w:rFonts w:ascii="Arial" w:cs="Arial" w:eastAsia="Arial" w:hAnsi="Arial"/>
          <w:sz w:val="22"/>
          <w:szCs w:val="22"/>
        </w:rPr>
        <w:t xml:space="preserve">Prism Central provides a unified API across all managed clusters. Authentication is Basic Auth over HTTPS.</w:t>
      </w:r>
    </w:p>
    <w:p/>
    <w:p>
      <w:pPr>
        <w:spacing w:after="120"/>
      </w:pPr>
      <w:r>
        <w:rPr>
          <w:rFonts w:ascii="Arial" w:cs="Arial" w:eastAsia="Arial" w:hAnsi="Arial"/>
          <w:b/>
          <w:bCs/>
          <w:sz w:val="22"/>
          <w:szCs w:val="22"/>
        </w:rPr>
        <w:t xml:space="preserve">Base URL: https://&lt;prism-central-ip&gt;:9440/api/nutanix/v3/</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6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/vms/list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{kind: 'vm'}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VMs: name, power_state, vcpus, memory, disks, nics, cluster, host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/hosts/list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 {kind: 'host'}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hosts: name, serial, block_model, cpu, memory, hypervisor, CVM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/clusters/list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{kind: 'cluster'}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Clusters: name, version, nodes, storage capacity/usage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/storage_containers/list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 {kind: 'storage_container'}</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Containers: name, capacity, usage, RF, compression, dedupe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/subnets/list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{kind: 'subnet'}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Networks: name, VLAN, subnet, gateway, IPAM pools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/images/list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 {kind: 'image'}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Images/ISOs: name, type, size,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/volume_groups/list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{kind: 'volume_group'}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groups: name, size, iSCSI target, attached VMs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/protection_rules/list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 {kind: 'protection_rule'}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 policies: name, schedule, remote site, RPO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{kind: 'category'}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Categories/tags: name, values, assigned entities</w:t>
            </w:r>
          </w:p>
        </w:tc>
      </w:tr>
    </w:tbl>
    <w:p/>
    <w:p>
      <w:pPr>
        <w:pStyle w:val="Heading2"/>
        <w:spacing w:after="120"/>
      </w:pPr>
      <w:r>
        <w:rPr>
          <w:rFonts w:ascii="Arial" w:cs="Arial" w:eastAsia="Arial" w:hAnsi="Arial"/>
          <w:b/>
          <w:bCs/>
          <w:sz w:val="22"/>
          <w:szCs w:val="22"/>
        </w:rPr>
        <w:t xml:space="preserve">2.2 Option B: Prism Element REST API v2</w:t>
      </w:r>
    </w:p>
    <w:p>
      <w:pPr>
        <w:spacing w:after="120"/>
      </w:pPr>
      <w:r>
        <w:rPr>
          <w:rFonts w:ascii="Arial" w:cs="Arial" w:eastAsia="Arial" w:hAnsi="Arial"/>
          <w:sz w:val="22"/>
          <w:szCs w:val="22"/>
        </w:rPr>
        <w:t xml:space="preserve">Direct per-cluster access. Useful for hardware-level detail not exposed in v3.</w:t>
      </w:r>
    </w:p>
    <w:p/>
    <w:p>
      <w:pPr>
        <w:spacing w:after="120"/>
      </w:pPr>
      <w:r>
        <w:rPr>
          <w:rFonts w:ascii="Arial" w:cs="Arial" w:eastAsia="Arial" w:hAnsi="Arial"/>
          <w:b/>
          <w:bCs/>
          <w:sz w:val="22"/>
          <w:szCs w:val="22"/>
        </w:rPr>
        <w:t xml:space="preserve">Base URL: https://&lt;cluster-vip&gt;:9440/api/nutanix/v2.0/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VMs with disk/NIC details, guest OS info</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/hosts/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Host hardware: CPU model, memory DIMMs, disk inventory, NIC 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/storage_pools/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storage pool (tier breakdown: SSD/HDD)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/containers/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Storage containers with per-container stats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disks: serial, model, tier, size, status, location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 alerts with severity and resolution guidance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/health_checks/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health check results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/cluster/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Cluster config: name, version, NTP, DNS, SMTP, hypervisor versions</w:t>
            </w:r>
          </w:p>
        </w:tc>
      </w:tr>
    </w:tbl>
    <w:p/>
    <w:p>
      <w:pPr>
        <w:pStyle w:val="Heading2"/>
        <w:spacing w:after="120"/>
      </w:pPr>
      <w:r>
        <w:rPr>
          <w:rFonts w:ascii="Arial" w:cs="Arial" w:eastAsia="Arial" w:hAnsi="Arial"/>
          <w:b/>
          <w:bCs/>
          <w:sz w:val="22"/>
          <w:szCs w:val="22"/>
        </w:rPr>
        <w:t xml:space="preserve">2.3 Option C: Nutanix PowerShell Module</w:t>
      </w:r>
    </w:p>
    <w:p>
      <w:pPr>
        <w:spacing w:after="120"/>
      </w:pPr>
      <w:r>
        <w:rPr>
          <w:rFonts w:ascii="Arial" w:cs="Arial" w:eastAsia="Arial" w:hAnsi="Arial"/>
          <w:sz w:val="22"/>
          <w:szCs w:val="22"/>
        </w:rPr>
        <w:t xml:space="preserve">Nutanix provides a PowerShell module (Nutanix.Cli or NutanixCmdlets) that wraps the REST APIs. However, it has historically had version compatibility issues and is less reliable than direct REST calls. We recommend direct REST API access via Invoke-RestMethod, which gives full control and works consistently across PS 5.1 and PS 7.</w:t>
      </w:r>
    </w:p>
    <w:p>
      <w:r>
        <w:br w:type="page"/>
      </w:r>
    </w:p>
    <w:p>
      <w:pPr>
        <w:pStyle w:val="Heading1"/>
        <w:spacing w:after="120"/>
      </w:pPr>
      <w:r>
        <w:rPr>
          <w:rFonts w:ascii="Arial" w:cs="Arial" w:eastAsia="Arial" w:hAnsi="Arial"/>
          <w:b/>
          <w:bCs/>
          <w:sz w:val="22"/>
          <w:szCs w:val="22"/>
        </w:rPr>
        <w:t xml:space="preserve">3. PowerShell REST API Pattern</w:t>
      </w:r>
    </w:p>
    <w:p>
      <w:pPr>
        <w:spacing w:after="120"/>
      </w:pPr>
      <w:r>
        <w:rPr>
          <w:rFonts w:ascii="Arial" w:cs="Arial" w:eastAsia="Arial" w:hAnsi="Arial"/>
          <w:sz w:val="22"/>
          <w:szCs w:val="22"/>
        </w:rPr>
        <w:t xml:space="preserve">Here is the core pattern for querying Nutanix from PowerShell:</w:t>
      </w:r>
    </w:p>
    <w:p/>
    <w:p>
      <w:pPr>
        <w:spacing w:after="120"/>
      </w:pPr>
      <w:r>
        <w:rPr>
          <w:rFonts w:ascii="Arial" w:cs="Arial" w:eastAsia="Arial" w:hAnsi="Arial"/>
          <w:b/>
          <w:bCs/>
          <w:sz w:val="22"/>
          <w:szCs w:val="22"/>
        </w:rPr>
        <w:t xml:space="preserve">Connection Setup:</w:t>
      </w:r>
    </w:p>
    <w:p>
      <w:pPr>
        <w:spacing w:after="120"/>
      </w:pPr>
      <w:r>
        <w:rPr>
          <w:rFonts w:ascii="Arial" w:cs="Arial" w:eastAsia="Arial" w:hAnsi="Arial"/>
          <w:sz w:val="22"/>
          <w:szCs w:val="22"/>
        </w:rPr>
        <w:t xml:space="preserve">$cred = Get-Credential</w:t>
      </w:r>
    </w:p>
    <w:p>
      <w:pPr>
        <w:spacing w:after="120"/>
      </w:pPr>
      <w:r>
        <w:rPr>
          <w:rFonts w:ascii="Arial" w:cs="Arial" w:eastAsia="Arial" w:hAnsi="Arial"/>
          <w:sz w:val="22"/>
          <w:szCs w:val="22"/>
        </w:rPr>
        <w:t xml:space="preserve">$headers = @{ 'Content-Type' = 'application/json' }</w:t>
      </w:r>
    </w:p>
    <w:p>
      <w:pPr>
        <w:spacing w:after="120"/>
      </w:pPr>
      <w:r>
        <w:rPr>
          <w:rFonts w:ascii="Arial" w:cs="Arial" w:eastAsia="Arial" w:hAnsi="Arial"/>
          <w:sz w:val="22"/>
          <w:szCs w:val="22"/>
        </w:rPr>
        <w:t xml:space="preserve">$baseUrl = 'https://&lt;prism-central&gt;:9440/api/nutanix/v3'</w:t>
      </w:r>
    </w:p>
    <w:p/>
    <w:p>
      <w:pPr>
        <w:spacing w:after="120"/>
      </w:pPr>
      <w:r>
        <w:rPr>
          <w:rFonts w:ascii="Arial" w:cs="Arial" w:eastAsia="Arial" w:hAnsi="Arial"/>
          <w:i/>
          <w:iCs/>
          <w:color w:val="888888"/>
          <w:sz w:val="22"/>
          <w:szCs w:val="22"/>
        </w:rPr>
        <w:t xml:space="preserve"># Skip certificate validation (self-signed certs common in Nutanix)</w:t>
      </w:r>
    </w:p>
    <w:p>
      <w:pPr>
        <w:spacing w:after="120"/>
      </w:pPr>
      <w:r>
        <w:rPr>
          <w:rFonts w:ascii="Arial" w:cs="Arial" w:eastAsia="Arial" w:hAnsi="Arial"/>
          <w:sz w:val="22"/>
          <w:szCs w:val="22"/>
        </w:rPr>
        <w:t xml:space="preserve">[System.Net.ServicePointManager]::ServerCertificateValidationCallback = { $true }</w:t>
      </w:r>
    </w:p>
    <w:p/>
    <w:p>
      <w:pPr>
        <w:spacing w:after="120"/>
      </w:pPr>
      <w:r>
        <w:rPr>
          <w:rFonts w:ascii="Arial" w:cs="Arial" w:eastAsia="Arial" w:hAnsi="Arial"/>
          <w:b/>
          <w:bCs/>
          <w:sz w:val="22"/>
          <w:szCs w:val="22"/>
        </w:rPr>
        <w:t xml:space="preserve">Query VMs:</w:t>
      </w:r>
    </w:p>
    <w:p>
      <w:pPr>
        <w:spacing w:after="120"/>
      </w:pPr>
      <w:r>
        <w:rPr>
          <w:rFonts w:ascii="Arial" w:cs="Arial" w:eastAsia="Arial" w:hAnsi="Arial"/>
          <w:sz w:val="22"/>
          <w:szCs w:val="22"/>
        </w:rPr>
        <w:t xml:space="preserve">$body = @{ kind = 'vm'; offset = 0; length = 500 } | ConvertTo-Json</w:t>
      </w:r>
    </w:p>
    <w:p>
      <w:pPr>
        <w:spacing w:after="120"/>
      </w:pPr>
      <w:r>
        <w:rPr>
          <w:rFonts w:ascii="Arial" w:cs="Arial" w:eastAsia="Arial" w:hAnsi="Arial"/>
          <w:sz w:val="22"/>
          <w:szCs w:val="22"/>
        </w:rPr>
        <w:t xml:space="preserve">$vms = Invoke-RestMethod -Uri "$baseUrl/vms/list" -Method POST -Body $body -Headers $headers -Credential $cred</w:t>
      </w:r>
    </w:p>
    <w:p/>
    <w:p>
      <w:pPr>
        <w:spacing w:after="120"/>
      </w:pPr>
      <w:r>
        <w:rPr>
          <w:rFonts w:ascii="Arial" w:cs="Arial" w:eastAsia="Arial" w:hAnsi="Arial"/>
          <w:sz w:val="22"/>
          <w:szCs w:val="22"/>
        </w:rPr>
        <w:t xml:space="preserve">The response contains $vms.entities (array of VM objects) and $vms.metadata (pagination info). For large environments, paginate using offset/length.</w:t>
      </w:r>
    </w:p>
    <w:p>
      <w:r>
        <w:br w:type="page"/>
      </w:r>
    </w:p>
    <w:p>
      <w:pPr>
        <w:pStyle w:val="Heading1"/>
        <w:spacing w:after="120"/>
      </w:pPr>
      <w:r>
        <w:rPr>
          <w:rFonts w:ascii="Arial" w:cs="Arial" w:eastAsia="Arial" w:hAnsi="Arial"/>
          <w:b/>
          <w:bCs/>
          <w:sz w:val="22"/>
          <w:szCs w:val="22"/>
        </w:rPr>
        <w:t xml:space="preserve">4. Report Output (Excel Tabs) -- Matching Hyper-V Report</w:t>
      </w:r>
    </w:p>
    <w:p>
      <w:pPr>
        <w:spacing w:after="120"/>
      </w:pPr>
      <w:r>
        <w:rPr>
          <w:rFonts w:ascii="Arial" w:cs="Arial" w:eastAsia="Arial" w:hAnsi="Arial"/>
          <w:sz w:val="22"/>
          <w:szCs w:val="22"/>
        </w:rPr>
        <w:t xml:space="preserve">The Nutanix report should mirror the Hyper-V report structure as closely as possible to enable side-by-side comparison: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Hyper-V Tab</w:t>
            </w:r>
          </w:p>
        </w:tc>
        <w:tc>
          <w:tcPr>
            <w:tcW w:type="dxa" w:w="300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Nutanix Equivalent</w:t>
            </w:r>
          </w:p>
        </w:tc>
        <w:tc>
          <w:tcPr>
            <w:tcW w:type="dxa" w:w="396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clusters/list + cluster stats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vHosts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vHosts (AHV Nodes)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hosts/list + v2 /hosts/ for hardware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vVMs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vVMs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vms/list -- power state, vCPU, RAM, cluster, host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vDisks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vDisks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VM disk attachments from vms/list entities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vNetwork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vNetwork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subnets/list + VM NIC details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vStorage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vStorage (Containers)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storage_containers/list + pool stats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vSecurity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vSecurity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config, hypervisor version, AOS version, encryption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vApplications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vApplications (Guest Tools)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VM guest OS info via Nutanix Guest Tools (NGT)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Host-Storage-Risk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Capacity Risk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usage vs capacity analysis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vDisk-Analysis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vDisk Analysis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Per-VM disk provisioned vs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findings from all analysis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(new)</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Protection Policies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protection_rules/list -- DR/backup 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Categories/Tags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categories/list -- organizational metadata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(new)</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Alerts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v2 /alerts/ -- active cluster 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vCluster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vCluster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clusters/list -- name, AOS version, node count, RF</w:t>
            </w:r>
          </w:p>
        </w:tc>
      </w:tr>
    </w:tbl>
    <w:p>
      <w:r>
        <w:br w:type="page"/>
      </w:r>
    </w:p>
    <w:p>
      <w:pPr>
        <w:pStyle w:val="Heading1"/>
        <w:spacing w:after="120"/>
      </w:pPr>
      <w:r>
        <w:rPr>
          <w:rFonts w:ascii="Arial" w:cs="Arial" w:eastAsia="Arial" w:hAnsi="Arial"/>
          <w:b/>
          <w:bCs/>
          <w:sz w:val="22"/>
          <w:szCs w:val="22"/>
        </w:rPr>
        <w:t xml:space="preserve">5. Architecture</w:t>
      </w:r>
    </w:p>
    <w:p>
      <w:pPr>
        <w:pStyle w:val="Heading2"/>
        <w:spacing w:after="120"/>
      </w:pPr>
      <w:r>
        <w:rPr>
          <w:rFonts w:ascii="Arial" w:cs="Arial" w:eastAsia="Arial" w:hAnsi="Arial"/>
          <w:b/>
          <w:bCs/>
          <w:sz w:val="22"/>
          <w:szCs w:val="22"/>
        </w:rPr>
        <w:t xml:space="preserve">5.1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024DA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NutanixInventory.psm1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orchestration: API connection, pagination, data collection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NutanixInventory-Analysis.psm1</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Capacity analysis, health scoring, VM sizing recommendations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NutanixInventory-Export.psm1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export with all tabs, formatting, conditional highlighting</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Run_NutanixReport.ps1</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Entry point: parameters, credentials, calls module, opens report</w:t>
            </w:r>
          </w:p>
        </w:tc>
      </w:tr>
    </w:tbl>
    <w:p/>
    <w:p>
      <w:pPr>
        <w:pStyle w:val="Heading2"/>
        <w:spacing w:after="120"/>
      </w:pPr>
      <w:r>
        <w:rPr>
          <w:rFonts w:ascii="Arial" w:cs="Arial" w:eastAsia="Arial" w:hAnsi="Arial"/>
          <w:b/>
          <w:bCs/>
          <w:sz w:val="22"/>
          <w:szCs w:val="22"/>
        </w:rPr>
        <w:t xml:space="preserve">5.2 Credential Handling</w:t>
      </w:r>
    </w:p>
    <w:p>
      <w:pPr>
        <w:spacing w:after="120"/>
      </w:pPr>
      <w:r>
        <w:rPr>
          <w:rFonts w:ascii="Arial" w:cs="Arial" w:eastAsia="Arial" w:hAnsi="Arial"/>
          <w:sz w:val="22"/>
          <w:szCs w:val="22"/>
        </w:rPr>
        <w:t xml:space="preserve">Same generic pattern as the Hyper-V report rework: stored credential files with Export-Clixml / Import-Clixml, or interactive Get-Credential. The Nutanix credentials are for the Prism Central admin account (or a read-only service account).</w:t>
      </w:r>
    </w:p>
    <w:p/>
    <w:p>
      <w:pPr>
        <w:pStyle w:val="Heading2"/>
        <w:spacing w:after="120"/>
      </w:pPr>
      <w:r>
        <w:rPr>
          <w:rFonts w:ascii="Arial" w:cs="Arial" w:eastAsia="Arial" w:hAnsi="Arial"/>
          <w:b/>
          <w:bCs/>
          <w:sz w:val="22"/>
          <w:szCs w:val="22"/>
        </w:rPr>
        <w:t xml:space="preserve">5.3 Certificate Handling</w:t>
      </w:r>
    </w:p>
    <w:p>
      <w:pPr>
        <w:spacing w:after="120"/>
      </w:pPr>
      <w:r>
        <w:rPr>
          <w:rFonts w:ascii="Arial" w:cs="Arial" w:eastAsia="Arial" w:hAnsi="Arial"/>
          <w:sz w:val="22"/>
          <w:szCs w:val="22"/>
        </w:rPr>
        <w:t xml:space="preserve">Nutanix Prism typically uses self-signed certificates. The module needs to handle TLS certificate validation bypass for PS 5.1 (ServicePointManager callback) and PS 7 (-SkipCertificateCheck parameter).</w:t>
      </w:r>
    </w:p>
    <w:p/>
    <w:p>
      <w:pPr>
        <w:pStyle w:val="Heading2"/>
        <w:spacing w:after="120"/>
      </w:pPr>
      <w:r>
        <w:rPr>
          <w:rFonts w:ascii="Arial" w:cs="Arial" w:eastAsia="Arial" w:hAnsi="Arial"/>
          <w:b/>
          <w:bCs/>
          <w:sz w:val="22"/>
          <w:szCs w:val="22"/>
        </w:rPr>
        <w:t xml:space="preserve">5.4 Pagination</w:t>
      </w:r>
    </w:p>
    <w:p>
      <w:pPr>
        <w:spacing w:after="120"/>
      </w:pPr>
      <w:r>
        <w:rPr>
          <w:rFonts w:ascii="Arial" w:cs="Arial" w:eastAsia="Arial" w:hAnsi="Arial"/>
          <w:sz w:val="22"/>
          <w:szCs w:val="22"/>
        </w:rPr>
        <w:t xml:space="preserve">The v3 API uses offset/length pagination. Default length is 20 entities per request; maximum is 500. The module must handle environments with more than 500 VMs/hosts by iterating with increasing offsets until all entities are retrieved.</w:t>
      </w:r>
    </w:p>
    <w:p>
      <w:r>
        <w:br w:type="page"/>
      </w:r>
    </w:p>
    <w:p>
      <w:pPr>
        <w:pStyle w:val="Heading1"/>
        <w:spacing w:after="120"/>
      </w:pPr>
      <w:r>
        <w:rPr>
          <w:rFonts w:ascii="Arial" w:cs="Arial" w:eastAsia="Arial" w:hAnsi="Arial"/>
          <w:b/>
          <w:bCs/>
          <w:sz w:val="22"/>
          <w:szCs w:val="22"/>
        </w:rPr>
        <w:t xml:space="preserve">6. Implementation Plan</w:t>
      </w:r>
    </w:p>
    <w:p>
      <w:pPr>
        <w:pStyle w:val="Heading2"/>
        <w:spacing w:after="120"/>
      </w:pPr>
      <w:r>
        <w:rPr>
          <w:rFonts w:ascii="Arial" w:cs="Arial" w:eastAsia="Arial" w:hAnsi="Arial"/>
          <w:b/>
          <w:bCs/>
          <w:sz w:val="22"/>
          <w:szCs w:val="22"/>
        </w:rPr>
        <w:t xml:space="preserve">6.1 Phase 1: Core Collection</w:t>
      </w:r>
    </w:p>
    <w:p>
      <w:pPr>
        <w:pStyle w:val="ListParagraph"/>
        <w:numPr>
          <w:ilvl w:val="0"/>
          <w:numId w:val="3"/>
        </w:numPr>
      </w:pPr>
      <w:r>
        <w:rPr>
          <w:rFonts w:ascii="Arial" w:cs="Arial" w:eastAsia="Arial" w:hAnsi="Arial"/>
          <w:sz w:val="22"/>
          <w:szCs w:val="22"/>
        </w:rPr>
        <w:t xml:space="preserve">Build API connection module with credential and certificate handling</w:t>
      </w:r>
    </w:p>
    <w:p>
      <w:pPr>
        <w:pStyle w:val="ListParagraph"/>
        <w:numPr>
          <w:ilvl w:val="0"/>
          <w:numId w:val="3"/>
        </w:numPr>
      </w:pPr>
      <w:r>
        <w:rPr>
          <w:rFonts w:ascii="Arial" w:cs="Arial" w:eastAsia="Arial" w:hAnsi="Arial"/>
          <w:sz w:val="22"/>
          <w:szCs w:val="22"/>
        </w:rPr>
        <w:t xml:space="preserve">Implement paginated data collection for all entity types</w:t>
      </w:r>
    </w:p>
    <w:p>
      <w:pPr>
        <w:pStyle w:val="ListParagraph"/>
        <w:numPr>
          <w:ilvl w:val="0"/>
          <w:numId w:val="3"/>
        </w:numPr>
      </w:pPr>
      <w:r>
        <w:rPr>
          <w:rFonts w:ascii="Arial" w:cs="Arial" w:eastAsia="Arial" w:hAnsi="Arial"/>
          <w:sz w:val="22"/>
          <w:szCs w:val="22"/>
        </w:rPr>
        <w:t xml:space="preserve">Build basic Excel export with VM, Host, Storage, and Network tabs</w:t>
      </w:r>
    </w:p>
    <w:p>
      <w:pPr>
        <w:pStyle w:val="ListParagraph"/>
        <w:numPr>
          <w:ilvl w:val="0"/>
          <w:numId w:val="3"/>
        </w:numPr>
      </w:pPr>
      <w:r>
        <w:rPr>
          <w:rFonts w:ascii="Arial" w:cs="Arial" w:eastAsia="Arial" w:hAnsi="Arial"/>
          <w:sz w:val="22"/>
          <w:szCs w:val="22"/>
        </w:rPr>
        <w:t xml:space="preserve">Test against live Nutanix cluster</w:t>
      </w:r>
    </w:p>
    <w:p/>
    <w:p>
      <w:pPr>
        <w:pStyle w:val="Heading2"/>
        <w:spacing w:after="120"/>
      </w:pPr>
      <w:r>
        <w:rPr>
          <w:rFonts w:ascii="Arial" w:cs="Arial" w:eastAsia="Arial" w:hAnsi="Arial"/>
          <w:b/>
          <w:bCs/>
          <w:sz w:val="22"/>
          <w:szCs w:val="22"/>
        </w:rPr>
        <w:t xml:space="preserve">6.2 Phase 2: Analysis &amp; Intelligence</w:t>
      </w:r>
    </w:p>
    <w:p>
      <w:pPr>
        <w:pStyle w:val="ListParagraph"/>
        <w:numPr>
          <w:ilvl w:val="0"/>
          <w:numId w:val="3"/>
        </w:numPr>
      </w:pPr>
      <w:r>
        <w:rPr>
          <w:rFonts w:ascii="Arial" w:cs="Arial" w:eastAsia="Arial" w:hAnsi="Arial"/>
          <w:sz w:val="22"/>
          <w:szCs w:val="22"/>
        </w:rPr>
        <w:t xml:space="preserve">Add capacity analysis (container utilization, growth trends)</w:t>
      </w:r>
    </w:p>
    <w:p>
      <w:pPr>
        <w:pStyle w:val="ListParagraph"/>
        <w:numPr>
          <w:ilvl w:val="0"/>
          <w:numId w:val="3"/>
        </w:numPr>
      </w:pPr>
      <w:r>
        <w:rPr>
          <w:rFonts w:ascii="Arial" w:cs="Arial" w:eastAsia="Arial" w:hAnsi="Arial"/>
          <w:sz w:val="22"/>
          <w:szCs w:val="22"/>
        </w:rPr>
        <w:t xml:space="preserve">Add VM sizing analysis (over/under provisioned)</w:t>
      </w:r>
    </w:p>
    <w:p>
      <w:pPr>
        <w:pStyle w:val="ListParagraph"/>
        <w:numPr>
          <w:ilvl w:val="0"/>
          <w:numId w:val="3"/>
        </w:numPr>
      </w:pPr>
      <w:r>
        <w:rPr>
          <w:rFonts w:ascii="Arial" w:cs="Arial" w:eastAsia="Arial" w:hAnsi="Arial"/>
          <w:sz w:val="22"/>
          <w:szCs w:val="22"/>
        </w:rPr>
        <w:t xml:space="preserve">Add security compliance (AOS version, hypervisor version, encryption status)</w:t>
      </w:r>
    </w:p>
    <w:p>
      <w:pPr>
        <w:pStyle w:val="ListParagraph"/>
        <w:numPr>
          <w:ilvl w:val="0"/>
          <w:numId w:val="3"/>
        </w:numPr>
      </w:pPr>
      <w:r>
        <w:rPr>
          <w:rFonts w:ascii="Arial" w:cs="Arial" w:eastAsia="Arial" w:hAnsi="Arial"/>
          <w:sz w:val="22"/>
          <w:szCs w:val="22"/>
        </w:rPr>
        <w:t xml:space="preserve">Add recommendations engine</w:t>
      </w:r>
    </w:p>
    <w:p/>
    <w:p>
      <w:pPr>
        <w:pStyle w:val="Heading2"/>
        <w:spacing w:after="120"/>
      </w:pPr>
      <w:r>
        <w:rPr>
          <w:rFonts w:ascii="Arial" w:cs="Arial" w:eastAsia="Arial" w:hAnsi="Arial"/>
          <w:b/>
          <w:bCs/>
          <w:sz w:val="22"/>
          <w:szCs w:val="22"/>
        </w:rPr>
        <w:t xml:space="preserve">6.3 Phase 3: Advanced Features</w:t>
      </w:r>
    </w:p>
    <w:p>
      <w:pPr>
        <w:pStyle w:val="ListParagraph"/>
        <w:numPr>
          <w:ilvl w:val="0"/>
          <w:numId w:val="3"/>
        </w:numPr>
      </w:pPr>
      <w:r>
        <w:rPr>
          <w:rFonts w:ascii="Arial" w:cs="Arial" w:eastAsia="Arial" w:hAnsi="Arial"/>
          <w:sz w:val="22"/>
          <w:szCs w:val="22"/>
        </w:rPr>
        <w:t xml:space="preserve">Protection policy coverage analysis (which VMs are/aren't protected)</w:t>
      </w:r>
    </w:p>
    <w:p>
      <w:pPr>
        <w:pStyle w:val="ListParagraph"/>
        <w:numPr>
          <w:ilvl w:val="0"/>
          <w:numId w:val="3"/>
        </w:numPr>
      </w:pPr>
      <w:r>
        <w:rPr>
          <w:rFonts w:ascii="Arial" w:cs="Arial" w:eastAsia="Arial" w:hAnsi="Arial"/>
          <w:sz w:val="22"/>
          <w:szCs w:val="22"/>
        </w:rPr>
        <w:t xml:space="preserve">Category-based reporting (group by department/environment tags)</w:t>
      </w:r>
    </w:p>
    <w:p>
      <w:pPr>
        <w:pStyle w:val="ListParagraph"/>
        <w:numPr>
          <w:ilvl w:val="0"/>
          <w:numId w:val="3"/>
        </w:numPr>
      </w:pPr>
      <w:r>
        <w:rPr>
          <w:rFonts w:ascii="Arial" w:cs="Arial" w:eastAsia="Arial" w:hAnsi="Arial"/>
          <w:sz w:val="22"/>
          <w:szCs w:val="22"/>
        </w:rPr>
        <w:t xml:space="preserve">Historical comparison with previous reports (last-seen tracking)</w:t>
      </w:r>
    </w:p>
    <w:p>
      <w:pPr>
        <w:pStyle w:val="ListParagraph"/>
        <w:numPr>
          <w:ilvl w:val="0"/>
          <w:numId w:val="3"/>
        </w:numPr>
      </w:pPr>
      <w:r>
        <w:rPr>
          <w:rFonts w:ascii="Arial" w:cs="Arial" w:eastAsia="Arial" w:hAnsi="Arial"/>
          <w:sz w:val="22"/>
          <w:szCs w:val="22"/>
        </w:rPr>
        <w:t xml:space="preserve">Integration hooks for combined Hyper-V + Nutanix infrastructure view</w:t>
      </w:r>
    </w:p>
    <w:p>
      <w:r>
        <w:br w:type="page"/>
      </w:r>
    </w:p>
    <w:p>
      <w:pPr>
        <w:pStyle w:val="Heading1"/>
        <w:spacing w:after="120"/>
      </w:pPr>
      <w:r>
        <w:rPr>
          <w:rFonts w:ascii="Arial" w:cs="Arial" w:eastAsia="Arial" w:hAnsi="Arial"/>
          <w:b/>
          <w:bCs/>
          <w:sz w:val="22"/>
          <w:szCs w:val="22"/>
        </w:rPr>
        <w:t xml:space="preserve">7. Items to Confirm Before Starting</w:t>
      </w:r>
    </w:p>
    <w:p>
      <w:pPr>
        <w:pStyle w:val="ListParagraph"/>
        <w:numPr>
          <w:ilvl w:val="0"/>
          <w:numId w:val="3"/>
        </w:numPr>
      </w:pPr>
      <w:r>
        <w:rPr>
          <w:rFonts w:ascii="Arial" w:cs="Arial" w:eastAsia="Arial" w:hAnsi="Arial"/>
          <w:sz w:val="22"/>
          <w:szCs w:val="22"/>
        </w:rPr>
        <w:t xml:space="preserve">What is the Prism Central IP/FQDN? (Or is it Prism Element only?)</w:t>
      </w:r>
    </w:p>
    <w:p>
      <w:pPr>
        <w:pStyle w:val="ListParagraph"/>
        <w:numPr>
          <w:ilvl w:val="0"/>
          <w:numId w:val="3"/>
        </w:numPr>
      </w:pPr>
      <w:r>
        <w:rPr>
          <w:rFonts w:ascii="Arial" w:cs="Arial" w:eastAsia="Arial" w:hAnsi="Arial"/>
          <w:sz w:val="22"/>
          <w:szCs w:val="22"/>
        </w:rPr>
        <w:t xml:space="preserve">What AOS version is running? (Determines API availability)</w:t>
      </w:r>
    </w:p>
    <w:p>
      <w:pPr>
        <w:pStyle w:val="ListParagraph"/>
        <w:numPr>
          <w:ilvl w:val="0"/>
          <w:numId w:val="3"/>
        </w:numPr>
      </w:pPr>
      <w:r>
        <w:rPr>
          <w:rFonts w:ascii="Arial" w:cs="Arial" w:eastAsia="Arial" w:hAnsi="Arial"/>
          <w:sz w:val="22"/>
          <w:szCs w:val="22"/>
        </w:rPr>
        <w:t xml:space="preserve">Is there a read-only service account for API access?</w:t>
      </w:r>
    </w:p>
    <w:p>
      <w:pPr>
        <w:pStyle w:val="ListParagraph"/>
        <w:numPr>
          <w:ilvl w:val="0"/>
          <w:numId w:val="3"/>
        </w:numPr>
      </w:pPr>
      <w:r>
        <w:rPr>
          <w:rFonts w:ascii="Arial" w:cs="Arial" w:eastAsia="Arial" w:hAnsi="Arial"/>
          <w:sz w:val="22"/>
          <w:szCs w:val="22"/>
        </w:rPr>
        <w:t xml:space="preserve">How many clusters, hosts, and VMs are in the Nutanix environment?</w:t>
      </w:r>
    </w:p>
    <w:p>
      <w:pPr>
        <w:pStyle w:val="ListParagraph"/>
        <w:numPr>
          <w:ilvl w:val="0"/>
          <w:numId w:val="3"/>
        </w:numPr>
      </w:pPr>
      <w:r>
        <w:rPr>
          <w:rFonts w:ascii="Arial" w:cs="Arial" w:eastAsia="Arial" w:hAnsi="Arial"/>
          <w:sz w:val="22"/>
          <w:szCs w:val="22"/>
        </w:rPr>
        <w:t xml:space="preserve">Is AHV the hypervisor, or is it ESXi on Nutanix hardware?</w:t>
      </w:r>
    </w:p>
    <w:p>
      <w:pPr>
        <w:pStyle w:val="ListParagraph"/>
        <w:numPr>
          <w:ilvl w:val="0"/>
          <w:numId w:val="3"/>
        </w:numPr>
      </w:pPr>
      <w:r>
        <w:rPr>
          <w:rFonts w:ascii="Arial" w:cs="Arial" w:eastAsia="Arial" w:hAnsi="Arial"/>
          <w:sz w:val="22"/>
          <w:szCs w:val="22"/>
        </w:rPr>
        <w:t xml:space="preserve">Are Nutanix categories/tags in use for organizational metadata?</w:t>
      </w:r>
    </w:p>
    <w:p>
      <w:pPr>
        <w:pStyle w:val="ListParagraph"/>
        <w:numPr>
          <w:ilvl w:val="0"/>
          <w:numId w:val="3"/>
        </w:numPr>
      </w:pPr>
      <w:r>
        <w:rPr>
          <w:rFonts w:ascii="Arial" w:cs="Arial" w:eastAsia="Arial" w:hAnsi="Arial"/>
          <w:sz w:val="22"/>
          <w:szCs w:val="22"/>
        </w:rPr>
        <w:t xml:space="preserve">Are protection domains or Leap configured for DR?</w:t>
      </w:r>
    </w:p>
    <w:p>
      <w:pPr>
        <w:pStyle w:val="ListParagraph"/>
        <w:numPr>
          <w:ilvl w:val="0"/>
          <w:numId w:val="3"/>
        </w:numPr>
      </w:pPr>
      <w:r>
        <w:rPr>
          <w:rFonts w:ascii="Arial" w:cs="Arial" w:eastAsia="Arial" w:hAnsi="Arial"/>
          <w:sz w:val="22"/>
          <w:szCs w:val="22"/>
        </w:rPr>
        <w:t xml:space="preserve">Is Nutanix Guest Tools (NGT) deployed on VMs? (Needed for guest OS info)</w:t>
      </w:r>
    </w:p>
    <w:p>
      <w:pPr>
        <w:pStyle w:val="ListParagraph"/>
        <w:numPr>
          <w:ilvl w:val="0"/>
          <w:numId w:val="3"/>
        </w:numPr>
      </w:pPr>
      <w:r>
        <w:rPr>
          <w:rFonts w:ascii="Arial" w:cs="Arial" w:eastAsia="Arial" w:hAnsi="Arial"/>
          <w:sz w:val="22"/>
          <w:szCs w:val="22"/>
        </w:rPr>
        <w:t xml:space="preserve">Any specific compliance requirements (CIS benchmarks, encryption mandates)?</w:t>
      </w:r>
    </w:p>
    <w:p>
      <w:pPr>
        <w:pStyle w:val="ListParagraph"/>
        <w:numPr>
          <w:ilvl w:val="0"/>
          <w:numId w:val="3"/>
        </w:numPr>
      </w:pPr>
      <w:r>
        <w:rPr>
          <w:rFonts w:ascii="Arial" w:cs="Arial" w:eastAsia="Arial" w:hAnsi="Arial"/>
          <w:sz w:val="22"/>
          <w:szCs w:val="22"/>
        </w:rPr>
        <w:t xml:space="preserve">Should this report run on the same schedule/server as the Hyper-V report?</w:t>
      </w:r>
    </w:p>
    <w:p/>
    <w:p/>
    <w:p>
      <w:pPr>
        <w:spacing w:after="120"/>
      </w:pPr>
      <w:r>
        <w:rPr>
          <w:rFonts w:ascii="Arial" w:cs="Arial" w:eastAsia="Arial" w:hAnsi="Arial"/>
          <w:i/>
          <w:iCs/>
          <w:color w:val="888888"/>
          <w:sz w:val="22"/>
          <w:szCs w:val="22"/>
        </w:rPr>
        <w:t xml:space="preserve">This document is the complete starting context for a new Claude conversation to build the Nutanix Cluster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24DA1"/>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6FC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A7F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2026-02-18T02:28:17.385Z</dcterms:created>
  <dcterms:modified xsi:type="dcterms:W3CDTF">2026-02-18T02:28:17.386Z</dcterms:modified>
</cp:coreProperties>
</file>

<file path=docProps/custom.xml><?xml version="1.0" encoding="utf-8"?>
<Properties xmlns="http://schemas.openxmlformats.org/officeDocument/2006/custom-properties" xmlns:vt="http://schemas.openxmlformats.org/officeDocument/2006/docPropsVTypes"/>
</file>