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68F4E" w14:textId="4F29DF37" w:rsidR="007B5F11" w:rsidRDefault="007B5F11" w:rsidP="007B5F11">
      <w:pPr>
        <w:rPr>
          <w:rFonts w:hint="eastAsia"/>
        </w:rPr>
      </w:pPr>
      <w:r>
        <w:rPr>
          <w:rFonts w:hint="eastAsia"/>
        </w:rPr>
        <w:t>Choose one of the following questions and write an 800-word paper. You must include quotations from the primary texts.</w:t>
      </w:r>
    </w:p>
    <w:p w14:paraId="6D03D7E1" w14:textId="41009A3D" w:rsidR="007B5F11" w:rsidRDefault="007B5F11" w:rsidP="007B5F1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How does Francis Bacon reinterpret the ancient notion of the formal cause in The Advancement of Learning?</w:t>
      </w:r>
    </w:p>
    <w:p w14:paraId="1F094C83" w14:textId="477DCEE5" w:rsidR="005C4EA0" w:rsidRPr="007B5F11" w:rsidRDefault="007B5F11" w:rsidP="007B5F1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How does Francis Bacon critique the doctrine of final causes in The Advancement of Learning and Novum Organum I.48?</w:t>
      </w:r>
    </w:p>
    <w:sectPr w:rsidR="005C4EA0" w:rsidRPr="007B5F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0E2"/>
    <w:multiLevelType w:val="multilevel"/>
    <w:tmpl w:val="D998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F477C2"/>
    <w:multiLevelType w:val="hybridMultilevel"/>
    <w:tmpl w:val="377271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8542815">
    <w:abstractNumId w:val="0"/>
  </w:num>
  <w:num w:numId="2" w16cid:durableId="314070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669"/>
    <w:rsid w:val="0030245A"/>
    <w:rsid w:val="005C4EA0"/>
    <w:rsid w:val="007B5F11"/>
    <w:rsid w:val="009B24EC"/>
    <w:rsid w:val="00C8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DF444"/>
  <w15:chartTrackingRefBased/>
  <w15:docId w15:val="{F861B28B-5445-4ABA-A0C0-C5471F96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36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36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6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6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36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36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36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36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36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3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3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36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36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36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36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36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36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36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3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36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36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3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36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36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36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3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36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3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鉴轩 姚</dc:creator>
  <cp:keywords/>
  <dc:description/>
  <cp:lastModifiedBy>鉴轩 姚</cp:lastModifiedBy>
  <cp:revision>2</cp:revision>
  <dcterms:created xsi:type="dcterms:W3CDTF">2025-12-08T06:13:00Z</dcterms:created>
  <dcterms:modified xsi:type="dcterms:W3CDTF">2025-12-08T06:14:00Z</dcterms:modified>
</cp:coreProperties>
</file>