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CD13A" w14:textId="557A9D26" w:rsidR="005C4EA0" w:rsidRDefault="00690111" w:rsidP="00690111">
      <w:pPr>
        <w:jc w:val="center"/>
        <w:rPr>
          <w:sz w:val="32"/>
          <w:szCs w:val="32"/>
        </w:rPr>
      </w:pPr>
      <w:r w:rsidRPr="00690111">
        <w:rPr>
          <w:rFonts w:hint="eastAsia"/>
          <w:sz w:val="32"/>
          <w:szCs w:val="32"/>
        </w:rPr>
        <w:t xml:space="preserve">Assignment </w:t>
      </w:r>
      <w:r>
        <w:rPr>
          <w:rFonts w:hint="eastAsia"/>
          <w:sz w:val="32"/>
          <w:szCs w:val="32"/>
        </w:rPr>
        <w:t>2</w:t>
      </w:r>
      <w:r w:rsidRPr="00690111">
        <w:rPr>
          <w:rFonts w:hint="eastAsia"/>
          <w:sz w:val="32"/>
          <w:szCs w:val="32"/>
        </w:rPr>
        <w:t xml:space="preserve"> for Introduction to Life Sciences</w:t>
      </w:r>
    </w:p>
    <w:p w14:paraId="772855D1" w14:textId="3D86A484" w:rsidR="00690111" w:rsidRPr="00171E89" w:rsidRDefault="00171E89" w:rsidP="00171E89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  <w:r w:rsidRPr="00171E89">
        <w:rPr>
          <w:rFonts w:hint="eastAsia"/>
          <w:sz w:val="28"/>
          <w:szCs w:val="28"/>
        </w:rPr>
        <w:t>一个氨基酸的改变可能导致肽链折叠后的形成的结构改变，进而导致蛋白质功能异常。如GPCR的受体区域被破坏，或酶的催化中心与底物不再契合，都是可能的结果。</w:t>
      </w:r>
    </w:p>
    <w:p w14:paraId="05699BAF" w14:textId="77777777" w:rsidR="00171E89" w:rsidRDefault="00171E89" w:rsidP="00171E89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</w:p>
    <w:p w14:paraId="1B8B8999" w14:textId="3B77FE75" w:rsidR="00171E89" w:rsidRPr="00171E89" w:rsidRDefault="00171E89" w:rsidP="00171E89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 w:rsidRPr="00171E89">
        <w:rPr>
          <w:rFonts w:hint="eastAsia"/>
          <w:sz w:val="28"/>
          <w:szCs w:val="28"/>
        </w:rPr>
        <w:t>Explain why it</w:t>
      </w:r>
      <w:r>
        <w:rPr>
          <w:rFonts w:hint="eastAsia"/>
          <w:sz w:val="28"/>
          <w:szCs w:val="28"/>
        </w:rPr>
        <w:t xml:space="preserve"> </w:t>
      </w:r>
      <w:r w:rsidRPr="00171E89">
        <w:rPr>
          <w:rFonts w:hint="eastAsia"/>
          <w:sz w:val="28"/>
          <w:szCs w:val="28"/>
        </w:rPr>
        <w:t>is a landmark discovery</w:t>
      </w:r>
    </w:p>
    <w:p w14:paraId="474657D5" w14:textId="0B0009FB" w:rsidR="00171E89" w:rsidRDefault="00171E89" w:rsidP="00171E89">
      <w:pPr>
        <w:pStyle w:val="a9"/>
        <w:ind w:left="880"/>
        <w:jc w:val="both"/>
        <w:rPr>
          <w:sz w:val="28"/>
          <w:szCs w:val="28"/>
        </w:rPr>
      </w:pPr>
      <w:r w:rsidRPr="00171E89">
        <w:rPr>
          <w:rFonts w:hint="eastAsia"/>
          <w:b/>
          <w:bCs/>
          <w:sz w:val="28"/>
          <w:szCs w:val="28"/>
        </w:rPr>
        <w:t>Reason 1</w:t>
      </w:r>
      <w:r>
        <w:rPr>
          <w:rFonts w:hint="eastAsia"/>
          <w:sz w:val="28"/>
          <w:szCs w:val="28"/>
        </w:rPr>
        <w:t>：</w:t>
      </w:r>
      <w:r w:rsidRPr="00171E89">
        <w:rPr>
          <w:rFonts w:hint="eastAsia"/>
          <w:sz w:val="28"/>
          <w:szCs w:val="28"/>
        </w:rPr>
        <w:t>揭示了遗传信息的物理载体和结构基础</w:t>
      </w:r>
    </w:p>
    <w:p w14:paraId="1C3ECA73" w14:textId="6017350A" w:rsidR="00171E89" w:rsidRDefault="00171E89" w:rsidP="00171E89">
      <w:pPr>
        <w:pStyle w:val="a9"/>
        <w:ind w:left="880"/>
        <w:jc w:val="both"/>
        <w:rPr>
          <w:sz w:val="28"/>
          <w:szCs w:val="28"/>
        </w:rPr>
      </w:pPr>
      <w:r w:rsidRPr="00171E89">
        <w:rPr>
          <w:rFonts w:hint="eastAsia"/>
          <w:b/>
          <w:bCs/>
          <w:sz w:val="28"/>
          <w:szCs w:val="28"/>
        </w:rPr>
        <w:t>Reason 2</w:t>
      </w:r>
      <w:r>
        <w:rPr>
          <w:rFonts w:hint="eastAsia"/>
          <w:sz w:val="28"/>
          <w:szCs w:val="28"/>
        </w:rPr>
        <w:t>：</w:t>
      </w:r>
      <w:r w:rsidRPr="00171E89">
        <w:rPr>
          <w:rFonts w:hint="eastAsia"/>
          <w:sz w:val="28"/>
          <w:szCs w:val="28"/>
        </w:rPr>
        <w:t>提出了“半保留复制”的机制</w:t>
      </w:r>
    </w:p>
    <w:p w14:paraId="30B6BC30" w14:textId="7D6F5455" w:rsidR="00171E89" w:rsidRDefault="00171E89" w:rsidP="00171E89">
      <w:pPr>
        <w:pStyle w:val="a9"/>
        <w:ind w:left="880"/>
        <w:jc w:val="both"/>
        <w:rPr>
          <w:sz w:val="28"/>
          <w:szCs w:val="28"/>
        </w:rPr>
      </w:pPr>
      <w:r w:rsidRPr="00171E89">
        <w:rPr>
          <w:rFonts w:hint="eastAsia"/>
          <w:b/>
          <w:bCs/>
          <w:sz w:val="28"/>
          <w:szCs w:val="28"/>
        </w:rPr>
        <w:t>Reason 3</w:t>
      </w:r>
      <w:r>
        <w:rPr>
          <w:rFonts w:hint="eastAsia"/>
          <w:sz w:val="28"/>
          <w:szCs w:val="28"/>
        </w:rPr>
        <w:t>：</w:t>
      </w:r>
      <w:r w:rsidRPr="00171E89">
        <w:rPr>
          <w:sz w:val="28"/>
          <w:szCs w:val="28"/>
        </w:rPr>
        <w:t>开启了分子生物学时代</w:t>
      </w:r>
    </w:p>
    <w:p w14:paraId="5D1D4083" w14:textId="6E314CE2" w:rsidR="00171E89" w:rsidRDefault="003F171E" w:rsidP="00171E89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 w:rsidRPr="003F171E">
        <w:rPr>
          <w:rFonts w:hint="eastAsia"/>
          <w:sz w:val="28"/>
          <w:szCs w:val="28"/>
        </w:rPr>
        <w:t>Why was Pauling and Corey’s model of DNA structure wrong?</w:t>
      </w:r>
    </w:p>
    <w:p w14:paraId="2500532B" w14:textId="67F37302" w:rsidR="003F171E" w:rsidRDefault="003F171E" w:rsidP="003F171E">
      <w:pPr>
        <w:pStyle w:val="a9"/>
        <w:ind w:left="880"/>
        <w:jc w:val="both"/>
        <w:rPr>
          <w:sz w:val="28"/>
          <w:szCs w:val="28"/>
        </w:rPr>
      </w:pPr>
      <w:r w:rsidRPr="003F171E">
        <w:rPr>
          <w:rFonts w:hint="eastAsia"/>
          <w:b/>
          <w:bCs/>
          <w:sz w:val="28"/>
          <w:szCs w:val="28"/>
        </w:rPr>
        <w:t>Reason 1</w:t>
      </w:r>
      <w:r>
        <w:rPr>
          <w:rFonts w:hint="eastAsia"/>
          <w:sz w:val="28"/>
          <w:szCs w:val="28"/>
        </w:rPr>
        <w:t>：三螺旋结构</w:t>
      </w:r>
    </w:p>
    <w:p w14:paraId="64382B7E" w14:textId="3AD3FC03" w:rsidR="003F171E" w:rsidRDefault="003F171E" w:rsidP="003F171E">
      <w:pPr>
        <w:pStyle w:val="a9"/>
        <w:ind w:left="880"/>
        <w:jc w:val="both"/>
        <w:rPr>
          <w:sz w:val="28"/>
          <w:szCs w:val="28"/>
        </w:rPr>
      </w:pPr>
      <w:r w:rsidRPr="003F171E">
        <w:rPr>
          <w:rFonts w:hint="eastAsia"/>
          <w:b/>
          <w:bCs/>
          <w:sz w:val="28"/>
          <w:szCs w:val="28"/>
        </w:rPr>
        <w:t>Reason 2</w:t>
      </w:r>
      <w:r>
        <w:rPr>
          <w:rFonts w:hint="eastAsia"/>
          <w:sz w:val="28"/>
          <w:szCs w:val="28"/>
        </w:rPr>
        <w:t>：碱基在外碳骨架在内（忽视碱基配对的特异性）</w:t>
      </w:r>
    </w:p>
    <w:p w14:paraId="1957C755" w14:textId="6A02024F" w:rsidR="003F171E" w:rsidRDefault="003F171E" w:rsidP="003F171E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’</w:t>
      </w:r>
      <w:r>
        <w:rPr>
          <w:rFonts w:hint="eastAsia"/>
          <w:sz w:val="28"/>
          <w:szCs w:val="28"/>
        </w:rPr>
        <w:t>-CTCCTGACTCGCTTAACGAT-3</w:t>
      </w:r>
      <w:r>
        <w:rPr>
          <w:sz w:val="28"/>
          <w:szCs w:val="28"/>
        </w:rPr>
        <w:t>’</w:t>
      </w:r>
    </w:p>
    <w:p w14:paraId="2638EEAF" w14:textId="77777777" w:rsidR="004B01CE" w:rsidRDefault="003F171E" w:rsidP="003F171E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rNTP</w:t>
      </w:r>
      <w:proofErr w:type="spellEnd"/>
      <w:r>
        <w:rPr>
          <w:rFonts w:hint="eastAsia"/>
          <w:sz w:val="28"/>
          <w:szCs w:val="28"/>
        </w:rPr>
        <w:t>在2‘碳原子上连接的是一个-OH，而dNTP在2’C上连接的是-H。</w:t>
      </w:r>
    </w:p>
    <w:p w14:paraId="1AC958E7" w14:textId="21423F75" w:rsidR="004B01CE" w:rsidRDefault="003F171E" w:rsidP="004B01CE">
      <w:pPr>
        <w:pStyle w:val="a9"/>
        <w:ind w:left="360"/>
        <w:jc w:val="both"/>
        <w:rPr>
          <w:sz w:val="28"/>
          <w:szCs w:val="28"/>
        </w:rPr>
      </w:pPr>
      <w:r w:rsidRPr="0005524D">
        <w:rPr>
          <w:rFonts w:hint="eastAsia"/>
          <w:b/>
          <w:bCs/>
          <w:sz w:val="28"/>
          <w:szCs w:val="28"/>
        </w:rPr>
        <w:t>推测</w:t>
      </w:r>
      <w:r w:rsidR="004B01CE" w:rsidRPr="0005524D">
        <w:rPr>
          <w:rFonts w:hint="eastAsia"/>
          <w:b/>
          <w:bCs/>
          <w:sz w:val="28"/>
          <w:szCs w:val="28"/>
        </w:rPr>
        <w:t>1</w:t>
      </w:r>
      <w:r w:rsidR="004B01CE"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</w:rPr>
        <w:t>DNA聚合酶容纳dNTP的位点对-H来说刚刚好，但对比-H更大的-OH来说就会发生空间上的碰撞。</w:t>
      </w:r>
    </w:p>
    <w:p w14:paraId="542CCBF3" w14:textId="33B44519" w:rsidR="003F171E" w:rsidRDefault="004B01CE" w:rsidP="004B01CE">
      <w:pPr>
        <w:pStyle w:val="a9"/>
        <w:ind w:left="360"/>
        <w:jc w:val="both"/>
        <w:rPr>
          <w:sz w:val="28"/>
          <w:szCs w:val="28"/>
        </w:rPr>
      </w:pPr>
      <w:r w:rsidRPr="0005524D">
        <w:rPr>
          <w:rFonts w:hint="eastAsia"/>
          <w:b/>
          <w:bCs/>
          <w:sz w:val="28"/>
          <w:szCs w:val="28"/>
        </w:rPr>
        <w:t>推测2</w:t>
      </w:r>
      <w:r>
        <w:rPr>
          <w:rFonts w:hint="eastAsia"/>
          <w:sz w:val="28"/>
          <w:szCs w:val="28"/>
        </w:rPr>
        <w:t>：-OH是亲水的基团，但DNA聚合酶容纳dNTP的位点处是疏水氨基酸，因此发生排斥。</w:t>
      </w:r>
    </w:p>
    <w:p w14:paraId="7B816FD5" w14:textId="319DC7AA" w:rsidR="004B01CE" w:rsidRDefault="004B01CE" w:rsidP="004B01CE">
      <w:pPr>
        <w:pStyle w:val="a9"/>
        <w:ind w:left="36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无论哪个推测正确，</w:t>
      </w:r>
      <w:r w:rsidR="003E22B0">
        <w:rPr>
          <w:rFonts w:hint="eastAsia"/>
          <w:sz w:val="28"/>
          <w:szCs w:val="28"/>
        </w:rPr>
        <w:t>其</w:t>
      </w:r>
      <w:r w:rsidR="003E22B0">
        <w:rPr>
          <w:rFonts w:hint="eastAsia"/>
          <w:sz w:val="28"/>
          <w:szCs w:val="28"/>
        </w:rPr>
        <w:t>都</w:t>
      </w:r>
      <w:r w:rsidR="003E22B0">
        <w:rPr>
          <w:rFonts w:hint="eastAsia"/>
          <w:sz w:val="28"/>
          <w:szCs w:val="28"/>
        </w:rPr>
        <w:t>使得</w:t>
      </w:r>
      <w:proofErr w:type="spellStart"/>
      <w:r>
        <w:rPr>
          <w:rFonts w:hint="eastAsia"/>
          <w:sz w:val="28"/>
          <w:szCs w:val="28"/>
        </w:rPr>
        <w:t>rNTP</w:t>
      </w:r>
      <w:proofErr w:type="spellEnd"/>
      <w:r>
        <w:rPr>
          <w:rFonts w:hint="eastAsia"/>
          <w:sz w:val="28"/>
          <w:szCs w:val="28"/>
        </w:rPr>
        <w:t>难以定位于催化位点上。</w:t>
      </w:r>
    </w:p>
    <w:p w14:paraId="5DD92326" w14:textId="66CC4D80" w:rsidR="004B01CE" w:rsidRDefault="004B01CE" w:rsidP="004B01CE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</w:p>
    <w:p w14:paraId="3F8EDD4B" w14:textId="34311406" w:rsidR="004B01CE" w:rsidRDefault="004B01CE" w:rsidP="004B01CE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PCR</w:t>
      </w:r>
    </w:p>
    <w:p w14:paraId="39143D2D" w14:textId="77777777" w:rsidR="004B01CE" w:rsidRDefault="004B01CE" w:rsidP="004B01CE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CRISPR-Cas9</w:t>
      </w:r>
    </w:p>
    <w:p w14:paraId="1A1899AA" w14:textId="5F7F7E11" w:rsidR="004B01CE" w:rsidRPr="004B01CE" w:rsidRDefault="004B01CE" w:rsidP="004B01CE">
      <w:pPr>
        <w:pStyle w:val="a9"/>
        <w:ind w:left="880"/>
        <w:jc w:val="both"/>
        <w:rPr>
          <w:sz w:val="21"/>
          <w:szCs w:val="21"/>
        </w:rPr>
      </w:pPr>
      <w:proofErr w:type="spellStart"/>
      <w:r w:rsidRPr="004B01CE">
        <w:rPr>
          <w:sz w:val="21"/>
          <w:szCs w:val="21"/>
        </w:rPr>
        <w:t>Jinek</w:t>
      </w:r>
      <w:proofErr w:type="spellEnd"/>
      <w:r w:rsidRPr="004B01CE">
        <w:rPr>
          <w:sz w:val="21"/>
          <w:szCs w:val="21"/>
        </w:rPr>
        <w:t>, M., Chylinski, K., Fonfara, I., Hauer, M., Doudna, J. A., &amp; Charpentier, E. (2012). A programmable dual-RNA-guided DNA endonuclease in adaptive bacterial immunity. </w:t>
      </w:r>
      <w:r w:rsidRPr="004B01CE">
        <w:rPr>
          <w:i/>
          <w:iCs/>
          <w:sz w:val="21"/>
          <w:szCs w:val="21"/>
        </w:rPr>
        <w:t>Science (New York, N.Y.)</w:t>
      </w:r>
      <w:r w:rsidRPr="004B01CE">
        <w:rPr>
          <w:sz w:val="21"/>
          <w:szCs w:val="21"/>
        </w:rPr>
        <w:t>, </w:t>
      </w:r>
      <w:r w:rsidRPr="004B01CE">
        <w:rPr>
          <w:i/>
          <w:iCs/>
          <w:sz w:val="21"/>
          <w:szCs w:val="21"/>
        </w:rPr>
        <w:t>337</w:t>
      </w:r>
      <w:r w:rsidRPr="004B01CE">
        <w:rPr>
          <w:sz w:val="21"/>
          <w:szCs w:val="21"/>
        </w:rPr>
        <w:t>(6096), 816–821. https://doi.org/10.1126/science.1225829</w:t>
      </w:r>
    </w:p>
    <w:p w14:paraId="3F12515F" w14:textId="16174246" w:rsidR="004B01CE" w:rsidRDefault="004B01CE" w:rsidP="004B01CE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DNA微阵列</w:t>
      </w:r>
    </w:p>
    <w:p w14:paraId="25DB5667" w14:textId="53E35EEB" w:rsidR="004B01CE" w:rsidRPr="004B01CE" w:rsidRDefault="004B01CE" w:rsidP="004B01CE">
      <w:pPr>
        <w:pStyle w:val="a9"/>
        <w:ind w:left="880"/>
        <w:jc w:val="both"/>
        <w:rPr>
          <w:sz w:val="21"/>
          <w:szCs w:val="21"/>
        </w:rPr>
      </w:pPr>
      <w:r w:rsidRPr="004B01CE">
        <w:rPr>
          <w:sz w:val="21"/>
          <w:szCs w:val="21"/>
        </w:rPr>
        <w:t>Bednár M. (2000). DNA microarray technology and application. </w:t>
      </w:r>
      <w:r w:rsidRPr="004B01CE">
        <w:rPr>
          <w:i/>
          <w:iCs/>
          <w:sz w:val="21"/>
          <w:szCs w:val="21"/>
        </w:rPr>
        <w:t>Medical science monitor : international medical journal of experimental and clinical research</w:t>
      </w:r>
      <w:r w:rsidRPr="004B01CE">
        <w:rPr>
          <w:sz w:val="21"/>
          <w:szCs w:val="21"/>
        </w:rPr>
        <w:t>, </w:t>
      </w:r>
      <w:r w:rsidRPr="004B01CE">
        <w:rPr>
          <w:i/>
          <w:iCs/>
          <w:sz w:val="21"/>
          <w:szCs w:val="21"/>
        </w:rPr>
        <w:t>6</w:t>
      </w:r>
      <w:r w:rsidRPr="004B01CE">
        <w:rPr>
          <w:sz w:val="21"/>
          <w:szCs w:val="21"/>
        </w:rPr>
        <w:t>(4), 796–800.</w:t>
      </w:r>
    </w:p>
    <w:p w14:paraId="73C090C6" w14:textId="173BD4A8" w:rsidR="004B01CE" w:rsidRDefault="004B01CE" w:rsidP="004B01CE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Northern/Southern Blot</w:t>
      </w:r>
    </w:p>
    <w:p w14:paraId="2D8EB62A" w14:textId="47E6AFCF" w:rsidR="004B01CE" w:rsidRPr="004B01CE" w:rsidRDefault="004B01CE" w:rsidP="004B01CE">
      <w:pPr>
        <w:pStyle w:val="a9"/>
        <w:numPr>
          <w:ilvl w:val="1"/>
          <w:numId w:val="1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FISH（荧光原位杂交）</w:t>
      </w:r>
    </w:p>
    <w:sectPr w:rsidR="004B01CE" w:rsidRPr="004B01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75C5C"/>
    <w:multiLevelType w:val="hybridMultilevel"/>
    <w:tmpl w:val="82CC308A"/>
    <w:lvl w:ilvl="0" w:tplc="24B8FF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09372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111"/>
    <w:rsid w:val="0005524D"/>
    <w:rsid w:val="00171E89"/>
    <w:rsid w:val="0030245A"/>
    <w:rsid w:val="003E22B0"/>
    <w:rsid w:val="003F171E"/>
    <w:rsid w:val="004B01CE"/>
    <w:rsid w:val="005C4EA0"/>
    <w:rsid w:val="00690111"/>
    <w:rsid w:val="00BD0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28D09"/>
  <w15:chartTrackingRefBased/>
  <w15:docId w15:val="{3A990CE7-951F-42A7-8017-7FEC750CB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9011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1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11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11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11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11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11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11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11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9011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901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901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9011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9011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9011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9011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9011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9011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9011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901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11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901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01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901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01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01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01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901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901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152</Words>
  <Characters>867</Characters>
  <Application>Microsoft Office Word</Application>
  <DocSecurity>0</DocSecurity>
  <Lines>7</Lines>
  <Paragraphs>2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鉴轩 姚</dc:creator>
  <cp:keywords/>
  <dc:description/>
  <cp:lastModifiedBy>鉴轩 姚</cp:lastModifiedBy>
  <cp:revision>3</cp:revision>
  <dcterms:created xsi:type="dcterms:W3CDTF">2025-09-29T10:46:00Z</dcterms:created>
  <dcterms:modified xsi:type="dcterms:W3CDTF">2025-09-29T13:44:00Z</dcterms:modified>
</cp:coreProperties>
</file>