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0D8EA" w14:textId="0899BC65" w:rsidR="005C4EA0" w:rsidRPr="006D2DE1" w:rsidRDefault="006D2DE1" w:rsidP="006D2DE1">
      <w:pPr>
        <w:jc w:val="center"/>
        <w:rPr>
          <w:rFonts w:hint="eastAsia"/>
          <w:sz w:val="32"/>
          <w:szCs w:val="32"/>
        </w:rPr>
      </w:pPr>
      <w:r w:rsidRPr="006D2DE1">
        <w:rPr>
          <w:rFonts w:hint="eastAsia"/>
          <w:sz w:val="32"/>
          <w:szCs w:val="32"/>
        </w:rPr>
        <w:t xml:space="preserve">Assignment 8 for Introduction to </w:t>
      </w:r>
      <w:r w:rsidR="00B01DD4">
        <w:rPr>
          <w:rFonts w:hint="eastAsia"/>
          <w:sz w:val="32"/>
          <w:szCs w:val="32"/>
        </w:rPr>
        <w:t>Life</w:t>
      </w:r>
      <w:r w:rsidRPr="006D2DE1">
        <w:rPr>
          <w:rFonts w:hint="eastAsia"/>
          <w:sz w:val="32"/>
          <w:szCs w:val="32"/>
        </w:rPr>
        <w:t xml:space="preserve"> Sciences</w:t>
      </w:r>
    </w:p>
    <w:p w14:paraId="662ED52E" w14:textId="4DA64C2C" w:rsidR="006D2DE1" w:rsidRDefault="004E2B85" w:rsidP="004E2B85">
      <w:pPr>
        <w:pStyle w:val="a9"/>
        <w:numPr>
          <w:ilvl w:val="0"/>
          <w:numId w:val="1"/>
        </w:numPr>
        <w:jc w:val="both"/>
        <w:rPr>
          <w:rFonts w:hint="eastAsia"/>
          <w:sz w:val="28"/>
          <w:szCs w:val="28"/>
        </w:rPr>
      </w:pPr>
      <w:proofErr w:type="spellStart"/>
      <w:r>
        <w:rPr>
          <w:rFonts w:hint="eastAsia"/>
          <w:sz w:val="28"/>
          <w:szCs w:val="28"/>
        </w:rPr>
        <w:t>ChIP</w:t>
      </w:r>
      <w:proofErr w:type="spellEnd"/>
      <w:r>
        <w:rPr>
          <w:rFonts w:hint="eastAsia"/>
          <w:sz w:val="28"/>
          <w:szCs w:val="28"/>
        </w:rPr>
        <w:t>-seq</w:t>
      </w:r>
      <w:r w:rsidR="008F716F">
        <w:rPr>
          <w:rStyle w:val="af0"/>
          <w:rFonts w:hint="eastAsia"/>
          <w:sz w:val="28"/>
          <w:szCs w:val="28"/>
        </w:rPr>
        <w:footnoteReference w:id="1"/>
      </w:r>
      <w:r w:rsidR="007B7DFE">
        <w:rPr>
          <w:rStyle w:val="af0"/>
          <w:rFonts w:hint="eastAsia"/>
          <w:sz w:val="28"/>
          <w:szCs w:val="28"/>
        </w:rPr>
        <w:footnoteReference w:id="2"/>
      </w:r>
    </w:p>
    <w:p w14:paraId="18C9ED64" w14:textId="012199EE" w:rsidR="004E2B85" w:rsidRDefault="004E2B85" w:rsidP="004E2B85">
      <w:pPr>
        <w:pStyle w:val="a9"/>
        <w:numPr>
          <w:ilvl w:val="1"/>
          <w:numId w:val="1"/>
        </w:numPr>
        <w:jc w:val="both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甲醛交联，甘氨酸终止交联</w:t>
      </w:r>
    </w:p>
    <w:p w14:paraId="7F011439" w14:textId="66411A33" w:rsidR="004E2B85" w:rsidRDefault="004E2B85" w:rsidP="004E2B85">
      <w:pPr>
        <w:pStyle w:val="a9"/>
        <w:numPr>
          <w:ilvl w:val="1"/>
          <w:numId w:val="1"/>
        </w:numPr>
        <w:jc w:val="both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细胞</w:t>
      </w:r>
      <w:r w:rsidR="008F716F">
        <w:rPr>
          <w:rFonts w:hint="eastAsia"/>
          <w:sz w:val="28"/>
          <w:szCs w:val="28"/>
        </w:rPr>
        <w:t>解离</w:t>
      </w:r>
      <w:r>
        <w:rPr>
          <w:rFonts w:hint="eastAsia"/>
          <w:sz w:val="28"/>
          <w:szCs w:val="28"/>
        </w:rPr>
        <w:t>沉淀裂解</w:t>
      </w:r>
    </w:p>
    <w:p w14:paraId="3D1FA5D8" w14:textId="33BFC45A" w:rsidR="008F716F" w:rsidRDefault="008F716F" w:rsidP="004E2B85">
      <w:pPr>
        <w:pStyle w:val="a9"/>
        <w:numPr>
          <w:ilvl w:val="1"/>
          <w:numId w:val="1"/>
        </w:numPr>
        <w:jc w:val="both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离心沉淀细胞核</w:t>
      </w:r>
    </w:p>
    <w:p w14:paraId="4A79E0F2" w14:textId="623C3073" w:rsidR="008F716F" w:rsidRDefault="008F716F" w:rsidP="004E2B85">
      <w:pPr>
        <w:pStyle w:val="a9"/>
        <w:numPr>
          <w:ilvl w:val="1"/>
          <w:numId w:val="1"/>
        </w:numPr>
        <w:jc w:val="both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超声破坏DNA</w:t>
      </w:r>
    </w:p>
    <w:p w14:paraId="50F54120" w14:textId="673A9EEC" w:rsidR="008F716F" w:rsidRDefault="008F716F" w:rsidP="004E2B85">
      <w:pPr>
        <w:pStyle w:val="a9"/>
        <w:numPr>
          <w:ilvl w:val="1"/>
          <w:numId w:val="1"/>
        </w:numPr>
        <w:jc w:val="both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加入抗体免疫共沉淀</w:t>
      </w:r>
    </w:p>
    <w:p w14:paraId="2DD10BE3" w14:textId="13767B64" w:rsidR="008F716F" w:rsidRDefault="008F716F" w:rsidP="004E2B85">
      <w:pPr>
        <w:pStyle w:val="a9"/>
        <w:numPr>
          <w:ilvl w:val="1"/>
          <w:numId w:val="1"/>
        </w:numPr>
        <w:jc w:val="both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解交联纯化</w:t>
      </w:r>
    </w:p>
    <w:p w14:paraId="5D7F13E7" w14:textId="4455E0D2" w:rsidR="008F716F" w:rsidRDefault="008F716F" w:rsidP="004E2B85">
      <w:pPr>
        <w:pStyle w:val="a9"/>
        <w:numPr>
          <w:ilvl w:val="1"/>
          <w:numId w:val="1"/>
        </w:numPr>
        <w:jc w:val="both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高通量测序</w:t>
      </w:r>
      <w:r w:rsidR="004D56BB">
        <w:rPr>
          <w:rFonts w:hint="eastAsia"/>
          <w:sz w:val="28"/>
          <w:szCs w:val="28"/>
        </w:rPr>
        <w:t>/微阵列高通量筛选</w:t>
      </w:r>
      <w:r w:rsidR="004D56BB">
        <w:rPr>
          <w:rStyle w:val="af0"/>
          <w:rFonts w:hint="eastAsia"/>
          <w:sz w:val="28"/>
          <w:szCs w:val="28"/>
        </w:rPr>
        <w:footnoteReference w:id="3"/>
      </w:r>
    </w:p>
    <w:p w14:paraId="25FDA4A7" w14:textId="2DA5C72D" w:rsidR="006D2835" w:rsidRDefault="006D2835" w:rsidP="006D2835">
      <w:pPr>
        <w:ind w:left="440"/>
        <w:jc w:val="both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TargetOrtho2</w:t>
      </w:r>
      <w:r w:rsidR="00EB4DC6">
        <w:rPr>
          <w:rStyle w:val="af0"/>
          <w:rFonts w:hint="eastAsia"/>
          <w:sz w:val="28"/>
          <w:szCs w:val="28"/>
        </w:rPr>
        <w:footnoteReference w:id="4"/>
      </w:r>
    </w:p>
    <w:p w14:paraId="5D77881B" w14:textId="2B6FAF71" w:rsidR="006D2835" w:rsidRDefault="006D2835" w:rsidP="006D2835">
      <w:pPr>
        <w:pStyle w:val="a9"/>
        <w:numPr>
          <w:ilvl w:val="0"/>
          <w:numId w:val="3"/>
        </w:numPr>
        <w:jc w:val="both"/>
        <w:rPr>
          <w:rFonts w:hint="eastAsia"/>
          <w:sz w:val="28"/>
          <w:szCs w:val="28"/>
        </w:rPr>
      </w:pPr>
      <w:proofErr w:type="gramStart"/>
      <w:r w:rsidRPr="006D2835">
        <w:rPr>
          <w:sz w:val="28"/>
          <w:szCs w:val="28"/>
        </w:rPr>
        <w:t>将模式</w:t>
      </w:r>
      <w:proofErr w:type="gramEnd"/>
      <w:r w:rsidRPr="006D2835">
        <w:rPr>
          <w:sz w:val="28"/>
          <w:szCs w:val="28"/>
        </w:rPr>
        <w:t>生物中已知的转录因子靶基因列表，通过直系同源关系，映射到目标物种中。</w:t>
      </w:r>
    </w:p>
    <w:p w14:paraId="64B35AAD" w14:textId="7BC9E3FB" w:rsidR="006D2835" w:rsidRDefault="00EB4DC6" w:rsidP="006D2835">
      <w:pPr>
        <w:pStyle w:val="a9"/>
        <w:numPr>
          <w:ilvl w:val="0"/>
          <w:numId w:val="3"/>
        </w:numPr>
        <w:jc w:val="both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从公共数据库中获取</w:t>
      </w:r>
      <w:r w:rsidRPr="00EB4DC6">
        <w:rPr>
          <w:sz w:val="28"/>
          <w:szCs w:val="28"/>
        </w:rPr>
        <w:t>该转录因子偏好结合的DNA序列模式（</w:t>
      </w:r>
      <w:r>
        <w:rPr>
          <w:rFonts w:hint="eastAsia"/>
          <w:sz w:val="28"/>
          <w:szCs w:val="28"/>
        </w:rPr>
        <w:t>即</w:t>
      </w:r>
      <w:r w:rsidRPr="00EB4DC6">
        <w:rPr>
          <w:sz w:val="28"/>
          <w:szCs w:val="28"/>
        </w:rPr>
        <w:t>motif）</w:t>
      </w:r>
      <w:r>
        <w:rPr>
          <w:rFonts w:hint="eastAsia"/>
          <w:sz w:val="28"/>
          <w:szCs w:val="28"/>
        </w:rPr>
        <w:t>，扫描目标物种靶基因调控区中是否存在进化保守的motif。</w:t>
      </w:r>
    </w:p>
    <w:p w14:paraId="59D724A6" w14:textId="64113C96" w:rsidR="00EB4DC6" w:rsidRDefault="00EB4DC6" w:rsidP="006D2835">
      <w:pPr>
        <w:pStyle w:val="a9"/>
        <w:numPr>
          <w:ilvl w:val="0"/>
          <w:numId w:val="3"/>
        </w:numPr>
        <w:jc w:val="both"/>
        <w:rPr>
          <w:rFonts w:hint="eastAsia"/>
          <w:sz w:val="28"/>
          <w:szCs w:val="28"/>
        </w:rPr>
      </w:pPr>
      <w:r w:rsidRPr="00EB4DC6">
        <w:rPr>
          <w:sz w:val="28"/>
          <w:szCs w:val="28"/>
        </w:rPr>
        <w:lastRenderedPageBreak/>
        <w:t>利用目标物种的基因表达数据（如RNA-seq数据）检查预测的转录因子与其候选靶基因的表达模式是否具有相关性。</w:t>
      </w:r>
    </w:p>
    <w:p w14:paraId="2AC78EC2" w14:textId="77777777" w:rsidR="001D2268" w:rsidRDefault="001D2268" w:rsidP="001D2268">
      <w:pPr>
        <w:pStyle w:val="a9"/>
        <w:numPr>
          <w:ilvl w:val="0"/>
          <w:numId w:val="1"/>
        </w:numPr>
        <w:jc w:val="both"/>
        <w:rPr>
          <w:rFonts w:hint="eastAsia"/>
          <w:sz w:val="28"/>
          <w:szCs w:val="28"/>
        </w:rPr>
      </w:pPr>
    </w:p>
    <w:p w14:paraId="3DA11116" w14:textId="44BC7D85" w:rsidR="001D2268" w:rsidRPr="001D2268" w:rsidRDefault="001D2268" w:rsidP="001D2268">
      <w:pPr>
        <w:pStyle w:val="a9"/>
        <w:numPr>
          <w:ilvl w:val="1"/>
          <w:numId w:val="1"/>
        </w:numPr>
        <w:jc w:val="both"/>
        <w:rPr>
          <w:rFonts w:hint="eastAsia"/>
          <w:sz w:val="28"/>
          <w:szCs w:val="28"/>
        </w:rPr>
      </w:pPr>
      <w:r w:rsidRPr="001D2268">
        <w:rPr>
          <w:rFonts w:hint="eastAsia"/>
          <w:sz w:val="28"/>
          <w:szCs w:val="28"/>
        </w:rPr>
        <w:t>成人干细胞（如间充质干细胞）治疗潜力高（如低免疫排斥），但来源有限且分化能力受限。</w:t>
      </w:r>
      <w:r>
        <w:rPr>
          <w:rStyle w:val="af0"/>
          <w:rFonts w:hint="eastAsia"/>
          <w:sz w:val="28"/>
          <w:szCs w:val="28"/>
        </w:rPr>
        <w:footnoteReference w:id="5"/>
      </w:r>
    </w:p>
    <w:p w14:paraId="67194DBC" w14:textId="4D1BA389" w:rsidR="001D2268" w:rsidRPr="001D2268" w:rsidRDefault="001D2268" w:rsidP="001D2268">
      <w:pPr>
        <w:pStyle w:val="a9"/>
        <w:numPr>
          <w:ilvl w:val="1"/>
          <w:numId w:val="1"/>
        </w:numPr>
        <w:jc w:val="both"/>
        <w:rPr>
          <w:rFonts w:hint="eastAsia"/>
          <w:sz w:val="28"/>
          <w:szCs w:val="28"/>
        </w:rPr>
      </w:pPr>
      <w:r w:rsidRPr="001D2268">
        <w:rPr>
          <w:rFonts w:hint="eastAsia"/>
          <w:sz w:val="28"/>
          <w:szCs w:val="28"/>
        </w:rPr>
        <w:t>iPSCs可无限增殖并避免伦理问题，但存在肿瘤形成风险和遗传不稳定性。</w:t>
      </w:r>
      <w:r>
        <w:rPr>
          <w:rStyle w:val="af0"/>
          <w:rFonts w:hint="eastAsia"/>
          <w:sz w:val="28"/>
          <w:szCs w:val="28"/>
        </w:rPr>
        <w:footnoteReference w:id="6"/>
      </w:r>
    </w:p>
    <w:p w14:paraId="1899B1B1" w14:textId="29323254" w:rsidR="00EB4DC6" w:rsidRDefault="001D2268" w:rsidP="001D2268">
      <w:pPr>
        <w:pStyle w:val="a9"/>
        <w:numPr>
          <w:ilvl w:val="1"/>
          <w:numId w:val="1"/>
        </w:numPr>
        <w:jc w:val="both"/>
        <w:rPr>
          <w:rFonts w:hint="eastAsia"/>
          <w:sz w:val="28"/>
          <w:szCs w:val="28"/>
        </w:rPr>
      </w:pPr>
      <w:r w:rsidRPr="001D2268">
        <w:rPr>
          <w:rFonts w:hint="eastAsia"/>
          <w:sz w:val="28"/>
          <w:szCs w:val="28"/>
        </w:rPr>
        <w:t>器官</w:t>
      </w:r>
      <w:proofErr w:type="gramStart"/>
      <w:r w:rsidRPr="001D2268">
        <w:rPr>
          <w:rFonts w:hint="eastAsia"/>
          <w:sz w:val="28"/>
          <w:szCs w:val="28"/>
        </w:rPr>
        <w:t>样提供</w:t>
      </w:r>
      <w:proofErr w:type="gramEnd"/>
      <w:r w:rsidRPr="001D2268">
        <w:rPr>
          <w:rFonts w:hint="eastAsia"/>
          <w:sz w:val="28"/>
          <w:szCs w:val="28"/>
        </w:rPr>
        <w:t>精准疾病模型和药物测试平台，但规模化生产和功能成熟度面临挑战。</w:t>
      </w:r>
      <w:r>
        <w:rPr>
          <w:rStyle w:val="af0"/>
          <w:rFonts w:hint="eastAsia"/>
          <w:sz w:val="28"/>
          <w:szCs w:val="28"/>
        </w:rPr>
        <w:footnoteReference w:id="7"/>
      </w:r>
    </w:p>
    <w:p w14:paraId="54C47DFE" w14:textId="4B926269" w:rsidR="004C519F" w:rsidRPr="004C519F" w:rsidRDefault="004C519F" w:rsidP="004C519F">
      <w:pPr>
        <w:pStyle w:val="a9"/>
        <w:numPr>
          <w:ilvl w:val="0"/>
          <w:numId w:val="1"/>
        </w:numPr>
        <w:jc w:val="both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产生蛋白A的细胞1可以记住</w:t>
      </w:r>
      <w:r w:rsidR="0026413C">
        <w:rPr>
          <w:rFonts w:hint="eastAsia"/>
          <w:sz w:val="28"/>
          <w:szCs w:val="28"/>
        </w:rPr>
        <w:t>。</w:t>
      </w:r>
      <w:r w:rsidRPr="004C519F">
        <w:rPr>
          <w:rFonts w:hint="eastAsia"/>
          <w:sz w:val="28"/>
          <w:szCs w:val="28"/>
        </w:rPr>
        <w:t>瞬时信号诱导蛋白A合成后，蛋白A作为转录激活因子结合到自身基因的启动子区域，启动自身基因的转录，形成正反馈回路。</w:t>
      </w:r>
      <w:r>
        <w:rPr>
          <w:rFonts w:hint="eastAsia"/>
          <w:sz w:val="28"/>
          <w:szCs w:val="28"/>
        </w:rPr>
        <w:t>即使</w:t>
      </w:r>
      <w:r w:rsidRPr="004C519F">
        <w:rPr>
          <w:rFonts w:hint="eastAsia"/>
          <w:sz w:val="28"/>
          <w:szCs w:val="28"/>
        </w:rPr>
        <w:t>信号消失，这种正反馈</w:t>
      </w:r>
      <w:r>
        <w:rPr>
          <w:rFonts w:hint="eastAsia"/>
          <w:sz w:val="28"/>
          <w:szCs w:val="28"/>
        </w:rPr>
        <w:t>依然</w:t>
      </w:r>
      <w:r w:rsidRPr="004C519F">
        <w:rPr>
          <w:rFonts w:hint="eastAsia"/>
          <w:sz w:val="28"/>
          <w:szCs w:val="28"/>
        </w:rPr>
        <w:t>能维持蛋白A的持续表达</w:t>
      </w:r>
      <w:r>
        <w:rPr>
          <w:rFonts w:hint="eastAsia"/>
          <w:sz w:val="28"/>
          <w:szCs w:val="28"/>
        </w:rPr>
        <w:t>。</w:t>
      </w:r>
      <w:r w:rsidRPr="004C519F">
        <w:rPr>
          <w:rFonts w:hint="eastAsia"/>
          <w:sz w:val="28"/>
          <w:szCs w:val="28"/>
        </w:rPr>
        <w:t>细胞分裂时，</w:t>
      </w:r>
      <w:r>
        <w:rPr>
          <w:rFonts w:hint="eastAsia"/>
          <w:sz w:val="28"/>
          <w:szCs w:val="28"/>
        </w:rPr>
        <w:t>尽管</w:t>
      </w:r>
      <w:r w:rsidRPr="004C519F">
        <w:rPr>
          <w:rFonts w:hint="eastAsia"/>
          <w:sz w:val="28"/>
          <w:szCs w:val="28"/>
        </w:rPr>
        <w:t>母细胞中的蛋白A在分裂后被稀释，但只要有足够浓度，就能继续激活自身基因。</w:t>
      </w:r>
    </w:p>
    <w:p w14:paraId="41D46C34" w14:textId="602D2E08" w:rsidR="004C519F" w:rsidRPr="00EB4DC6" w:rsidRDefault="00CB2CF0" w:rsidP="00CB2CF0">
      <w:pPr>
        <w:pStyle w:val="a9"/>
        <w:ind w:left="360"/>
        <w:jc w:val="both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产生</w:t>
      </w:r>
      <w:r w:rsidR="0026413C">
        <w:rPr>
          <w:rFonts w:hint="eastAsia"/>
          <w:sz w:val="28"/>
          <w:szCs w:val="28"/>
        </w:rPr>
        <w:t>蛋白</w:t>
      </w:r>
      <w:r w:rsidR="00A85397">
        <w:rPr>
          <w:rFonts w:hint="eastAsia"/>
          <w:sz w:val="28"/>
          <w:szCs w:val="28"/>
        </w:rPr>
        <w:t>R</w:t>
      </w:r>
      <w:r w:rsidR="0026413C">
        <w:rPr>
          <w:rFonts w:hint="eastAsia"/>
          <w:sz w:val="28"/>
          <w:szCs w:val="28"/>
        </w:rPr>
        <w:t>的细胞2无法记住。</w:t>
      </w:r>
      <w:r w:rsidR="0026413C" w:rsidRPr="0026413C">
        <w:rPr>
          <w:rFonts w:hint="eastAsia"/>
          <w:sz w:val="28"/>
          <w:szCs w:val="28"/>
        </w:rPr>
        <w:t>瞬时信号诱导蛋白</w:t>
      </w:r>
      <w:r w:rsidR="00A85397">
        <w:rPr>
          <w:rFonts w:hint="eastAsia"/>
          <w:sz w:val="28"/>
          <w:szCs w:val="28"/>
        </w:rPr>
        <w:t>R</w:t>
      </w:r>
      <w:r w:rsidR="0026413C" w:rsidRPr="0026413C">
        <w:rPr>
          <w:rFonts w:hint="eastAsia"/>
          <w:sz w:val="28"/>
          <w:szCs w:val="28"/>
        </w:rPr>
        <w:t>合成后，蛋白R作为转录抑制因子结合到自身基因的启动子区域，关闭自身基因的转录，形成负反馈回路。这意味着蛋白R的表达会抑制其</w:t>
      </w:r>
      <w:r w:rsidR="0026413C" w:rsidRPr="0026413C">
        <w:rPr>
          <w:rFonts w:hint="eastAsia"/>
          <w:sz w:val="28"/>
          <w:szCs w:val="28"/>
        </w:rPr>
        <w:lastRenderedPageBreak/>
        <w:t>自身的合成，导致蛋白R水平逐渐下降</w:t>
      </w:r>
      <w:r w:rsidR="00A85397">
        <w:rPr>
          <w:rFonts w:hint="eastAsia"/>
          <w:sz w:val="28"/>
          <w:szCs w:val="28"/>
        </w:rPr>
        <w:t>。因此，细胞分裂后蛋白R将处于低浓度状态，无法连贯抑制</w:t>
      </w:r>
      <w:r w:rsidR="00824BEB">
        <w:rPr>
          <w:rFonts w:hint="eastAsia"/>
          <w:sz w:val="28"/>
          <w:szCs w:val="28"/>
        </w:rPr>
        <w:t>子细胞转录</w:t>
      </w:r>
      <w:r w:rsidR="00A85397">
        <w:rPr>
          <w:rFonts w:hint="eastAsia"/>
          <w:sz w:val="28"/>
          <w:szCs w:val="28"/>
        </w:rPr>
        <w:t>。</w:t>
      </w:r>
    </w:p>
    <w:sectPr w:rsidR="004C519F" w:rsidRPr="00EB4DC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35084E" w14:textId="77777777" w:rsidR="00B57E7C" w:rsidRDefault="00B57E7C" w:rsidP="004E2B8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8EB1B2F" w14:textId="77777777" w:rsidR="00B57E7C" w:rsidRDefault="00B57E7C" w:rsidP="004E2B8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F994B1" w14:textId="77777777" w:rsidR="00B57E7C" w:rsidRDefault="00B57E7C" w:rsidP="004E2B8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32C7B7D" w14:textId="77777777" w:rsidR="00B57E7C" w:rsidRDefault="00B57E7C" w:rsidP="004E2B85">
      <w:pPr>
        <w:spacing w:after="0" w:line="240" w:lineRule="auto"/>
        <w:rPr>
          <w:rFonts w:hint="eastAsia"/>
        </w:rPr>
      </w:pPr>
      <w:r>
        <w:continuationSeparator/>
      </w:r>
    </w:p>
  </w:footnote>
  <w:footnote w:id="1">
    <w:p w14:paraId="42254203" w14:textId="4CA92C6E" w:rsidR="008F716F" w:rsidRDefault="008F716F">
      <w:pPr>
        <w:pStyle w:val="ae"/>
        <w:rPr>
          <w:rFonts w:hint="eastAsia"/>
        </w:rPr>
      </w:pPr>
      <w:r>
        <w:rPr>
          <w:rStyle w:val="af0"/>
          <w:rFonts w:hint="eastAsia"/>
        </w:rPr>
        <w:footnoteRef/>
      </w:r>
      <w:r>
        <w:rPr>
          <w:rFonts w:hint="eastAsia"/>
        </w:rPr>
        <w:t xml:space="preserve"> </w:t>
      </w:r>
      <w:r w:rsidRPr="008F716F">
        <w:t xml:space="preserve">Oberley, M. J., &amp; Farnham, P. J. (2003). Probing chromatin </w:t>
      </w:r>
      <w:proofErr w:type="spellStart"/>
      <w:r w:rsidRPr="008F716F">
        <w:t>immunoprecipitates</w:t>
      </w:r>
      <w:proofErr w:type="spellEnd"/>
      <w:r w:rsidRPr="008F716F">
        <w:t xml:space="preserve"> with CpG-island microarrays to identify genomic sites occupied by DNA-binding proteins. </w:t>
      </w:r>
      <w:r w:rsidRPr="008F716F">
        <w:rPr>
          <w:i/>
          <w:iCs/>
        </w:rPr>
        <w:t>Methods in enzymology</w:t>
      </w:r>
      <w:r w:rsidRPr="008F716F">
        <w:t>, </w:t>
      </w:r>
      <w:r w:rsidRPr="008F716F">
        <w:rPr>
          <w:i/>
          <w:iCs/>
        </w:rPr>
        <w:t>371</w:t>
      </w:r>
      <w:r w:rsidRPr="008F716F">
        <w:t>, 577–596. https://doi.org/10.1016/S0076-6879(03)71043-X</w:t>
      </w:r>
    </w:p>
  </w:footnote>
  <w:footnote w:id="2">
    <w:p w14:paraId="7FC51E4E" w14:textId="2842AF23" w:rsidR="007B7DFE" w:rsidRDefault="007B7DFE">
      <w:pPr>
        <w:pStyle w:val="ae"/>
        <w:rPr>
          <w:rFonts w:hint="eastAsia"/>
        </w:rPr>
      </w:pPr>
      <w:r>
        <w:rPr>
          <w:rStyle w:val="af0"/>
          <w:rFonts w:hint="eastAsia"/>
        </w:rPr>
        <w:footnoteRef/>
      </w:r>
      <w:r>
        <w:rPr>
          <w:rFonts w:hint="eastAsia"/>
        </w:rPr>
        <w:t xml:space="preserve"> </w:t>
      </w:r>
      <w:r w:rsidRPr="007B7DFE">
        <w:t xml:space="preserve">Weinmann, A. S., &amp; Farnham, P. J. (2002). Identification of unknown target genes of human transcription factors using chromatin immunoprecipitation. </w:t>
      </w:r>
      <w:r w:rsidRPr="007B7DFE">
        <w:rPr>
          <w:i/>
          <w:iCs/>
        </w:rPr>
        <w:t>Methods</w:t>
      </w:r>
      <w:r w:rsidRPr="007B7DFE">
        <w:t xml:space="preserve">, </w:t>
      </w:r>
      <w:r w:rsidRPr="007B7DFE">
        <w:rPr>
          <w:i/>
          <w:iCs/>
        </w:rPr>
        <w:t>26</w:t>
      </w:r>
      <w:r w:rsidRPr="007B7DFE">
        <w:t xml:space="preserve">(1), 37–47. </w:t>
      </w:r>
      <w:hyperlink r:id="rId1" w:history="1">
        <w:r w:rsidRPr="007B7DFE">
          <w:rPr>
            <w:rStyle w:val="af1"/>
          </w:rPr>
          <w:t>https://doi.org/10.1016/S1046-2023(02)00006-3</w:t>
        </w:r>
      </w:hyperlink>
    </w:p>
  </w:footnote>
  <w:footnote w:id="3">
    <w:p w14:paraId="2D9EA791" w14:textId="0320FF9F" w:rsidR="004D56BB" w:rsidRDefault="004D56BB">
      <w:pPr>
        <w:pStyle w:val="ae"/>
        <w:rPr>
          <w:rFonts w:hint="eastAsia"/>
        </w:rPr>
      </w:pPr>
      <w:r>
        <w:rPr>
          <w:rStyle w:val="af0"/>
          <w:rFonts w:hint="eastAsia"/>
        </w:rPr>
        <w:footnoteRef/>
      </w:r>
      <w:r>
        <w:rPr>
          <w:rFonts w:hint="eastAsia"/>
        </w:rPr>
        <w:t xml:space="preserve"> </w:t>
      </w:r>
      <w:r w:rsidR="008C389D" w:rsidRPr="008C389D">
        <w:t xml:space="preserve">Weinmann A. S. (2004). Novel </w:t>
      </w:r>
      <w:proofErr w:type="spellStart"/>
      <w:r w:rsidR="008C389D" w:rsidRPr="008C389D">
        <w:t>ChIP</w:t>
      </w:r>
      <w:proofErr w:type="spellEnd"/>
      <w:r w:rsidR="008C389D" w:rsidRPr="008C389D">
        <w:t>-based strategies to uncover transcription factor target genes in the immune system. </w:t>
      </w:r>
      <w:r w:rsidR="008C389D" w:rsidRPr="008C389D">
        <w:rPr>
          <w:i/>
          <w:iCs/>
        </w:rPr>
        <w:t>Nature reviews. Immunology</w:t>
      </w:r>
      <w:r w:rsidR="008C389D" w:rsidRPr="008C389D">
        <w:t>, </w:t>
      </w:r>
      <w:r w:rsidR="008C389D" w:rsidRPr="008C389D">
        <w:rPr>
          <w:i/>
          <w:iCs/>
        </w:rPr>
        <w:t>4</w:t>
      </w:r>
      <w:r w:rsidR="008C389D" w:rsidRPr="008C389D">
        <w:t>(5), 381–386. https://doi.org/10.1038/nri1353</w:t>
      </w:r>
    </w:p>
  </w:footnote>
  <w:footnote w:id="4">
    <w:p w14:paraId="4BD6DF24" w14:textId="78BC6236" w:rsidR="00EB4DC6" w:rsidRDefault="00EB4DC6">
      <w:pPr>
        <w:pStyle w:val="ae"/>
        <w:rPr>
          <w:rFonts w:hint="eastAsia"/>
        </w:rPr>
      </w:pPr>
      <w:r>
        <w:rPr>
          <w:rStyle w:val="af0"/>
          <w:rFonts w:hint="eastAsia"/>
        </w:rPr>
        <w:footnoteRef/>
      </w:r>
      <w:r>
        <w:rPr>
          <w:rFonts w:hint="eastAsia"/>
        </w:rPr>
        <w:t xml:space="preserve"> </w:t>
      </w:r>
      <w:r w:rsidRPr="00EB4DC6">
        <w:rPr>
          <w:rFonts w:hint="eastAsia"/>
        </w:rPr>
        <w:t>Rumley, J. D., Kim, J. H., &amp; Hobert, O. (2025). Protocol to identify transcription factor target genes using TargetOrtho2. STAR Protocols, 6(1), 103680. https://doi.org/10.1016/j.xpro.2025.103680</w:t>
      </w:r>
    </w:p>
  </w:footnote>
  <w:footnote w:id="5">
    <w:p w14:paraId="0E283761" w14:textId="6E54BBE3" w:rsidR="001D2268" w:rsidRDefault="001D2268">
      <w:pPr>
        <w:pStyle w:val="ae"/>
        <w:rPr>
          <w:rFonts w:hint="eastAsia"/>
        </w:rPr>
      </w:pPr>
      <w:r>
        <w:rPr>
          <w:rStyle w:val="af0"/>
          <w:rFonts w:hint="eastAsia"/>
        </w:rPr>
        <w:footnoteRef/>
      </w:r>
      <w:r>
        <w:rPr>
          <w:rFonts w:hint="eastAsia"/>
        </w:rPr>
        <w:t xml:space="preserve"> </w:t>
      </w:r>
      <w:r w:rsidRPr="001D2268">
        <w:t xml:space="preserve">Dulak, J., </w:t>
      </w:r>
      <w:proofErr w:type="spellStart"/>
      <w:r w:rsidRPr="001D2268">
        <w:t>Szade</w:t>
      </w:r>
      <w:proofErr w:type="spellEnd"/>
      <w:r w:rsidRPr="001D2268">
        <w:t xml:space="preserve">, K., </w:t>
      </w:r>
      <w:proofErr w:type="spellStart"/>
      <w:r w:rsidRPr="001D2268">
        <w:t>Szade</w:t>
      </w:r>
      <w:proofErr w:type="spellEnd"/>
      <w:r w:rsidRPr="001D2268">
        <w:t xml:space="preserve">, A., Nowak, W., &amp; Józkowicz, A. (2015). Adult stem cells: Hopes and hypes of regenerative medicine. </w:t>
      </w:r>
      <w:r w:rsidRPr="001D2268">
        <w:rPr>
          <w:i/>
          <w:iCs/>
        </w:rPr>
        <w:t xml:space="preserve">Acta </w:t>
      </w:r>
      <w:proofErr w:type="spellStart"/>
      <w:r w:rsidRPr="001D2268">
        <w:rPr>
          <w:i/>
          <w:iCs/>
        </w:rPr>
        <w:t>Biochimica</w:t>
      </w:r>
      <w:proofErr w:type="spellEnd"/>
      <w:r w:rsidRPr="001D2268">
        <w:rPr>
          <w:i/>
          <w:iCs/>
        </w:rPr>
        <w:t xml:space="preserve"> Polonica</w:t>
      </w:r>
      <w:r w:rsidRPr="001D2268">
        <w:t xml:space="preserve">, </w:t>
      </w:r>
      <w:r w:rsidRPr="001D2268">
        <w:rPr>
          <w:i/>
          <w:iCs/>
        </w:rPr>
        <w:t>62</w:t>
      </w:r>
      <w:r w:rsidRPr="001D2268">
        <w:t xml:space="preserve">(3), 329–337. </w:t>
      </w:r>
      <w:hyperlink r:id="rId2" w:history="1">
        <w:r w:rsidRPr="001D2268">
          <w:rPr>
            <w:rStyle w:val="af1"/>
          </w:rPr>
          <w:t>https://doi.org/10.18388/abp.2015_1023</w:t>
        </w:r>
      </w:hyperlink>
    </w:p>
  </w:footnote>
  <w:footnote w:id="6">
    <w:p w14:paraId="385DA63F" w14:textId="43B8F23F" w:rsidR="001D2268" w:rsidRDefault="001D2268">
      <w:pPr>
        <w:pStyle w:val="ae"/>
        <w:rPr>
          <w:rFonts w:hint="eastAsia"/>
        </w:rPr>
      </w:pPr>
      <w:r>
        <w:rPr>
          <w:rStyle w:val="af0"/>
          <w:rFonts w:hint="eastAsia"/>
        </w:rPr>
        <w:footnoteRef/>
      </w:r>
      <w:r>
        <w:rPr>
          <w:rFonts w:hint="eastAsia"/>
        </w:rPr>
        <w:t xml:space="preserve"> </w:t>
      </w:r>
      <w:r w:rsidRPr="001D2268">
        <w:t xml:space="preserve">Aboul-Soud, M. A. M., Alzahrani, A. J., &amp; Mahmoud, A. (2021). Induced Pluripotent Stem Cells (iPSCs)—Roles in Regenerative Therapies, Disease Modelling and Drug Screening. </w:t>
      </w:r>
      <w:r w:rsidRPr="001D2268">
        <w:rPr>
          <w:i/>
          <w:iCs/>
        </w:rPr>
        <w:t>Cells</w:t>
      </w:r>
      <w:r w:rsidRPr="001D2268">
        <w:t xml:space="preserve">, </w:t>
      </w:r>
      <w:r w:rsidRPr="001D2268">
        <w:rPr>
          <w:i/>
          <w:iCs/>
        </w:rPr>
        <w:t>10</w:t>
      </w:r>
      <w:r w:rsidRPr="001D2268">
        <w:t xml:space="preserve">(9), 2319. </w:t>
      </w:r>
      <w:hyperlink r:id="rId3" w:history="1">
        <w:r w:rsidRPr="001D2268">
          <w:rPr>
            <w:rStyle w:val="af1"/>
          </w:rPr>
          <w:t>https://doi.org/10.3390/cells10092319</w:t>
        </w:r>
      </w:hyperlink>
    </w:p>
  </w:footnote>
  <w:footnote w:id="7">
    <w:p w14:paraId="05C19962" w14:textId="09D383DE" w:rsidR="001D2268" w:rsidRDefault="001D2268">
      <w:pPr>
        <w:pStyle w:val="ae"/>
        <w:rPr>
          <w:rFonts w:hint="eastAsia"/>
        </w:rPr>
      </w:pPr>
      <w:r>
        <w:rPr>
          <w:rStyle w:val="af0"/>
          <w:rFonts w:hint="eastAsia"/>
        </w:rPr>
        <w:footnoteRef/>
      </w:r>
      <w:r>
        <w:rPr>
          <w:rFonts w:hint="eastAsia"/>
        </w:rPr>
        <w:t xml:space="preserve"> </w:t>
      </w:r>
      <w:r w:rsidRPr="001D2268">
        <w:t xml:space="preserve">Tang, X.-Y., Wu, S., Wang, D., Chu, C., Hong, Y., Tao, M., Hu, H., Xu, M., Guo, X., &amp; Liu, Y. (2022). Human organoids in basic research and clinical applications. </w:t>
      </w:r>
      <w:r w:rsidRPr="001D2268">
        <w:rPr>
          <w:i/>
          <w:iCs/>
        </w:rPr>
        <w:t>Signal Transduction and Targeted Therapy</w:t>
      </w:r>
      <w:r w:rsidRPr="001D2268">
        <w:t xml:space="preserve">, </w:t>
      </w:r>
      <w:r w:rsidRPr="001D2268">
        <w:rPr>
          <w:i/>
          <w:iCs/>
        </w:rPr>
        <w:t>7</w:t>
      </w:r>
      <w:r w:rsidRPr="001D2268">
        <w:t xml:space="preserve">(1), 168. </w:t>
      </w:r>
      <w:hyperlink r:id="rId4" w:history="1">
        <w:r w:rsidRPr="001D2268">
          <w:rPr>
            <w:rStyle w:val="af1"/>
          </w:rPr>
          <w:t>https://doi.org/10.1038/s41392-022-01024-9</w:t>
        </w:r>
      </w:hyperlink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45F7F"/>
    <w:multiLevelType w:val="hybridMultilevel"/>
    <w:tmpl w:val="386C126C"/>
    <w:lvl w:ilvl="0" w:tplc="5728257A">
      <w:start w:val="1"/>
      <w:numFmt w:val="lowerLetter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1EC81593"/>
    <w:multiLevelType w:val="hybridMultilevel"/>
    <w:tmpl w:val="205817DA"/>
    <w:lvl w:ilvl="0" w:tplc="37D09ED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345312E2"/>
    <w:multiLevelType w:val="hybridMultilevel"/>
    <w:tmpl w:val="2174E514"/>
    <w:lvl w:ilvl="0" w:tplc="64962336">
      <w:start w:val="1"/>
      <w:numFmt w:val="lowerLetter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37EF0D36"/>
    <w:multiLevelType w:val="multilevel"/>
    <w:tmpl w:val="F6E66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8511447">
    <w:abstractNumId w:val="1"/>
  </w:num>
  <w:num w:numId="2" w16cid:durableId="785390867">
    <w:abstractNumId w:val="0"/>
  </w:num>
  <w:num w:numId="3" w16cid:durableId="416487623">
    <w:abstractNumId w:val="2"/>
  </w:num>
  <w:num w:numId="4" w16cid:durableId="13637437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DE1"/>
    <w:rsid w:val="001D2268"/>
    <w:rsid w:val="0026413C"/>
    <w:rsid w:val="0030245A"/>
    <w:rsid w:val="004C519F"/>
    <w:rsid w:val="004D56BB"/>
    <w:rsid w:val="004E2B85"/>
    <w:rsid w:val="00557A3F"/>
    <w:rsid w:val="005C4EA0"/>
    <w:rsid w:val="006D2835"/>
    <w:rsid w:val="006D2DE1"/>
    <w:rsid w:val="007B7DFE"/>
    <w:rsid w:val="00824BEB"/>
    <w:rsid w:val="008C389D"/>
    <w:rsid w:val="008F716F"/>
    <w:rsid w:val="00A85397"/>
    <w:rsid w:val="00B01DD4"/>
    <w:rsid w:val="00B57E7C"/>
    <w:rsid w:val="00CB2CF0"/>
    <w:rsid w:val="00CE4EB1"/>
    <w:rsid w:val="00EB4DC6"/>
    <w:rsid w:val="00F14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66339"/>
  <w15:chartTrackingRefBased/>
  <w15:docId w15:val="{279E1BB8-EE12-4FD7-BDDC-1327ED2AB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D2DE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D2D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D2DE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2DE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D2DE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D2DE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D2DE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D2DE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D2DE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D2DE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D2D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D2D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D2DE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D2DE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D2DE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D2DE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D2DE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D2DE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D2DE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D2D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D2DE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D2DE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D2D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D2DE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D2DE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D2DE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D2D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D2DE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D2DE1"/>
    <w:rPr>
      <w:b/>
      <w:bCs/>
      <w:smallCaps/>
      <w:color w:val="0F4761" w:themeColor="accent1" w:themeShade="BF"/>
      <w:spacing w:val="5"/>
    </w:rPr>
  </w:style>
  <w:style w:type="paragraph" w:styleId="ae">
    <w:name w:val="footnote text"/>
    <w:basedOn w:val="a"/>
    <w:link w:val="af"/>
    <w:uiPriority w:val="99"/>
    <w:semiHidden/>
    <w:unhideWhenUsed/>
    <w:rsid w:val="004E2B85"/>
    <w:pPr>
      <w:snapToGrid w:val="0"/>
    </w:pPr>
    <w:rPr>
      <w:sz w:val="18"/>
      <w:szCs w:val="18"/>
    </w:rPr>
  </w:style>
  <w:style w:type="character" w:customStyle="1" w:styleId="af">
    <w:name w:val="脚注文本 字符"/>
    <w:basedOn w:val="a0"/>
    <w:link w:val="ae"/>
    <w:uiPriority w:val="99"/>
    <w:semiHidden/>
    <w:rsid w:val="004E2B85"/>
    <w:rPr>
      <w:sz w:val="18"/>
      <w:szCs w:val="18"/>
    </w:rPr>
  </w:style>
  <w:style w:type="character" w:styleId="af0">
    <w:name w:val="footnote reference"/>
    <w:basedOn w:val="a0"/>
    <w:uiPriority w:val="99"/>
    <w:semiHidden/>
    <w:unhideWhenUsed/>
    <w:rsid w:val="004E2B85"/>
    <w:rPr>
      <w:vertAlign w:val="superscript"/>
    </w:rPr>
  </w:style>
  <w:style w:type="character" w:styleId="af1">
    <w:name w:val="Hyperlink"/>
    <w:basedOn w:val="a0"/>
    <w:uiPriority w:val="99"/>
    <w:unhideWhenUsed/>
    <w:rsid w:val="007B7DFE"/>
    <w:rPr>
      <w:color w:val="467886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7B7D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"1.0" encoding="UTF-8" standalone="yes"?>
<Relationships xmlns="http://schemas.openxmlformats.org/package/2006/relationships"><Relationship Id="rId3" Type="http://schemas.openxmlformats.org/officeDocument/2006/relationships/hyperlink" Target="https://doi.org/10.3390/cells10092319" TargetMode="External"/><Relationship Id="rId2" Type="http://schemas.openxmlformats.org/officeDocument/2006/relationships/hyperlink" Target="https://doi.org/10.18388/abp.2015_1023" TargetMode="External"/><Relationship Id="rId1" Type="http://schemas.openxmlformats.org/officeDocument/2006/relationships/hyperlink" Target="https://doi.org/10.1016/S1046-2023(02)00006-3" TargetMode="External"/><Relationship Id="rId4" Type="http://schemas.openxmlformats.org/officeDocument/2006/relationships/hyperlink" Target="https://doi.org/10.1038/s41392-022-01024-9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AC40EC-D353-4810-830B-DFCC6F9379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543</TotalTime>
  <Pages>3</Pages>
  <Words>103</Words>
  <Characters>591</Characters>
  <Application>Microsoft Office Word</Application>
  <DocSecurity>0</DocSecurity>
  <Lines>4</Lines>
  <Paragraphs>1</Paragraphs>
  <ScaleCrop>false</ScaleCrop>
  <Company/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鉴轩 姚</dc:creator>
  <cp:keywords/>
  <dc:description/>
  <cp:lastModifiedBy>鉴轩 姚</cp:lastModifiedBy>
  <cp:revision>10</cp:revision>
  <dcterms:created xsi:type="dcterms:W3CDTF">2025-11-17T02:43:00Z</dcterms:created>
  <dcterms:modified xsi:type="dcterms:W3CDTF">2025-11-17T11:47:00Z</dcterms:modified>
</cp:coreProperties>
</file>