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94F90" w14:textId="75B4C227" w:rsidR="005C4EA0" w:rsidRDefault="00DD54AA" w:rsidP="00DD54AA">
      <w:pPr>
        <w:jc w:val="center"/>
        <w:rPr>
          <w:sz w:val="32"/>
          <w:szCs w:val="32"/>
        </w:rPr>
      </w:pPr>
      <w:r w:rsidRPr="00DD54AA">
        <w:rPr>
          <w:rFonts w:hint="eastAsia"/>
          <w:sz w:val="32"/>
          <w:szCs w:val="32"/>
        </w:rPr>
        <w:t xml:space="preserve">Assignment </w:t>
      </w:r>
      <w:r>
        <w:rPr>
          <w:rFonts w:hint="eastAsia"/>
          <w:sz w:val="32"/>
          <w:szCs w:val="32"/>
        </w:rPr>
        <w:t>9</w:t>
      </w:r>
      <w:r w:rsidRPr="00DD54AA">
        <w:rPr>
          <w:rFonts w:hint="eastAsia"/>
          <w:sz w:val="32"/>
          <w:szCs w:val="32"/>
        </w:rPr>
        <w:t xml:space="preserve"> for Introduction to Life Sciences</w:t>
      </w:r>
    </w:p>
    <w:p w14:paraId="36D16204" w14:textId="3C0CE0DC" w:rsidR="00654599" w:rsidRDefault="00654599" w:rsidP="00654599">
      <w:pPr>
        <w:pStyle w:val="a9"/>
        <w:numPr>
          <w:ilvl w:val="0"/>
          <w:numId w:val="2"/>
        </w:numPr>
        <w:jc w:val="both"/>
        <w:rPr>
          <w:sz w:val="28"/>
          <w:szCs w:val="28"/>
        </w:rPr>
      </w:pPr>
    </w:p>
    <w:p w14:paraId="41B8CD7C" w14:textId="62D26ED9" w:rsidR="00654599" w:rsidRDefault="00654599" w:rsidP="00654599">
      <w:pPr>
        <w:pStyle w:val="a9"/>
        <w:numPr>
          <w:ilvl w:val="1"/>
          <w:numId w:val="2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Replication origin: It is used to start the amplification of plasmid. Without replication origin, plasmid would have been unable to copy itself and transfer into daughter cells.</w:t>
      </w:r>
    </w:p>
    <w:p w14:paraId="3BFE30E8" w14:textId="0F32753D" w:rsidR="00654599" w:rsidRDefault="00654599" w:rsidP="00654599">
      <w:pPr>
        <w:pStyle w:val="a9"/>
        <w:numPr>
          <w:ilvl w:val="1"/>
          <w:numId w:val="2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Antibiotic resistance gene: It functions as a mark to distinguish cells that correctly contain recombinant plasmid from those which fail to import plasmid or introduce non-recombinant plasmid.</w:t>
      </w:r>
    </w:p>
    <w:p w14:paraId="2648758B" w14:textId="616CE447" w:rsidR="007B1789" w:rsidRDefault="007866B8" w:rsidP="007B1789">
      <w:pPr>
        <w:pStyle w:val="a9"/>
        <w:numPr>
          <w:ilvl w:val="1"/>
          <w:numId w:val="2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Multiple cloning site: </w:t>
      </w:r>
      <w:r w:rsidR="00B76F66">
        <w:rPr>
          <w:rFonts w:hint="eastAsia"/>
          <w:sz w:val="28"/>
          <w:szCs w:val="28"/>
        </w:rPr>
        <w:t xml:space="preserve">It is a region where restrictive endonuclease exerts its slicing function. </w:t>
      </w:r>
      <w:r w:rsidR="00AA764C">
        <w:rPr>
          <w:rFonts w:hint="eastAsia"/>
          <w:sz w:val="28"/>
          <w:szCs w:val="28"/>
        </w:rPr>
        <w:t xml:space="preserve">It contains enough </w:t>
      </w:r>
      <w:r w:rsidR="00AA764C" w:rsidRPr="00AA764C">
        <w:rPr>
          <w:rFonts w:hint="eastAsia"/>
          <w:sz w:val="28"/>
          <w:szCs w:val="28"/>
        </w:rPr>
        <w:t>restriction enzyme</w:t>
      </w:r>
      <w:r w:rsidR="00AA764C">
        <w:rPr>
          <w:rFonts w:hint="eastAsia"/>
          <w:sz w:val="28"/>
          <w:szCs w:val="28"/>
        </w:rPr>
        <w:t xml:space="preserve"> recognition loci for variant enzymes to cut.</w:t>
      </w:r>
    </w:p>
    <w:p w14:paraId="726F9315" w14:textId="72F61273" w:rsidR="007B1789" w:rsidRDefault="00B16274" w:rsidP="007B1789">
      <w:pPr>
        <w:pStyle w:val="a9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Selective marker is a gene introduced into cells, which can express special traits so that scientists can easily distinguish them from non-transformant</w:t>
      </w:r>
      <w:r w:rsidR="009F2ABD">
        <w:rPr>
          <w:rFonts w:hint="eastAsia"/>
          <w:sz w:val="28"/>
          <w:szCs w:val="28"/>
        </w:rPr>
        <w:t>s</w:t>
      </w:r>
      <w:r>
        <w:rPr>
          <w:rFonts w:hint="eastAsia"/>
          <w:sz w:val="28"/>
          <w:szCs w:val="28"/>
        </w:rPr>
        <w:t>.</w:t>
      </w:r>
    </w:p>
    <w:p w14:paraId="247576B0" w14:textId="2619939B" w:rsidR="009F2ABD" w:rsidRDefault="009F2ABD" w:rsidP="009F2ABD">
      <w:pPr>
        <w:pStyle w:val="a9"/>
        <w:ind w:left="36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One common example is </w:t>
      </w:r>
      <w:proofErr w:type="spellStart"/>
      <w:r w:rsidRPr="009F2ABD">
        <w:rPr>
          <w:rFonts w:hint="eastAsia"/>
          <w:b/>
          <w:bCs/>
          <w:sz w:val="28"/>
          <w:szCs w:val="28"/>
        </w:rPr>
        <w:t>amp</w:t>
      </w:r>
      <w:r w:rsidRPr="009F2ABD">
        <w:rPr>
          <w:rFonts w:hint="eastAsia"/>
          <w:b/>
          <w:bCs/>
          <w:sz w:val="28"/>
          <w:szCs w:val="28"/>
          <w:vertAlign w:val="superscript"/>
        </w:rPr>
        <w:t>R</w:t>
      </w:r>
      <w:proofErr w:type="spellEnd"/>
      <w:r>
        <w:rPr>
          <w:rFonts w:hint="eastAsia"/>
          <w:sz w:val="28"/>
          <w:szCs w:val="28"/>
        </w:rPr>
        <w:t xml:space="preserve">. The transformants, which </w:t>
      </w:r>
      <w:r w:rsidR="00315452">
        <w:rPr>
          <w:sz w:val="28"/>
          <w:szCs w:val="28"/>
        </w:rPr>
        <w:t>own</w:t>
      </w:r>
      <w:r>
        <w:rPr>
          <w:rFonts w:hint="eastAsia"/>
          <w:sz w:val="28"/>
          <w:szCs w:val="28"/>
        </w:rPr>
        <w:t xml:space="preserve"> </w:t>
      </w:r>
      <w:proofErr w:type="spellStart"/>
      <w:r w:rsidRPr="009F2ABD">
        <w:rPr>
          <w:rFonts w:hint="eastAsia"/>
          <w:b/>
          <w:bCs/>
          <w:sz w:val="28"/>
          <w:szCs w:val="28"/>
        </w:rPr>
        <w:t>amp</w:t>
      </w:r>
      <w:r w:rsidRPr="009F2ABD">
        <w:rPr>
          <w:rFonts w:hint="eastAsia"/>
          <w:b/>
          <w:bCs/>
          <w:sz w:val="28"/>
          <w:szCs w:val="28"/>
          <w:vertAlign w:val="superscript"/>
        </w:rPr>
        <w:t>R</w:t>
      </w:r>
      <w:proofErr w:type="spellEnd"/>
      <w:r>
        <w:rPr>
          <w:rFonts w:hint="eastAsia"/>
          <w:sz w:val="28"/>
          <w:szCs w:val="28"/>
        </w:rPr>
        <w:t xml:space="preserve"> from </w:t>
      </w:r>
      <w:r w:rsidR="001F5EE0">
        <w:rPr>
          <w:sz w:val="28"/>
          <w:szCs w:val="28"/>
        </w:rPr>
        <w:t>plasmid</w:t>
      </w:r>
      <w:r w:rsidR="001F5EE0">
        <w:rPr>
          <w:rFonts w:hint="eastAsia"/>
          <w:sz w:val="28"/>
          <w:szCs w:val="28"/>
        </w:rPr>
        <w:t>s</w:t>
      </w:r>
      <w:r>
        <w:rPr>
          <w:rFonts w:hint="eastAsia"/>
          <w:sz w:val="28"/>
          <w:szCs w:val="28"/>
        </w:rPr>
        <w:t>, acquire a</w:t>
      </w:r>
      <w:r w:rsidRPr="009F2ABD">
        <w:rPr>
          <w:rFonts w:hint="eastAsia"/>
          <w:sz w:val="28"/>
          <w:szCs w:val="28"/>
        </w:rPr>
        <w:t>mpicillin resistance</w:t>
      </w:r>
      <w:r>
        <w:rPr>
          <w:rFonts w:hint="eastAsia"/>
          <w:sz w:val="28"/>
          <w:szCs w:val="28"/>
        </w:rPr>
        <w:t xml:space="preserve"> to survive under a</w:t>
      </w:r>
      <w:r w:rsidRPr="009F2ABD">
        <w:rPr>
          <w:rFonts w:hint="eastAsia"/>
          <w:sz w:val="28"/>
          <w:szCs w:val="28"/>
        </w:rPr>
        <w:t>mpicillin</w:t>
      </w:r>
      <w:r>
        <w:rPr>
          <w:rFonts w:hint="eastAsia"/>
          <w:sz w:val="28"/>
          <w:szCs w:val="28"/>
        </w:rPr>
        <w:t xml:space="preserve">, while those non-transformants die. </w:t>
      </w:r>
    </w:p>
    <w:p w14:paraId="3DB7947A" w14:textId="0B6EB4B8" w:rsidR="009F2ABD" w:rsidRDefault="001F5EE0" w:rsidP="009F2ABD">
      <w:pPr>
        <w:pStyle w:val="a9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They have different p</w:t>
      </w:r>
      <w:r w:rsidR="00315452">
        <w:rPr>
          <w:rFonts w:hint="eastAsia"/>
          <w:sz w:val="28"/>
          <w:szCs w:val="28"/>
        </w:rPr>
        <w:t>ur</w:t>
      </w:r>
      <w:r>
        <w:rPr>
          <w:rFonts w:hint="eastAsia"/>
          <w:sz w:val="28"/>
          <w:szCs w:val="28"/>
        </w:rPr>
        <w:t>pose</w:t>
      </w:r>
      <w:r w:rsidR="00315452">
        <w:rPr>
          <w:rFonts w:hint="eastAsia"/>
          <w:sz w:val="28"/>
          <w:szCs w:val="28"/>
        </w:rPr>
        <w:t>s</w:t>
      </w:r>
      <w:r>
        <w:rPr>
          <w:rFonts w:hint="eastAsia"/>
          <w:sz w:val="28"/>
          <w:szCs w:val="28"/>
        </w:rPr>
        <w:t xml:space="preserve">. </w:t>
      </w:r>
      <w:r w:rsidR="00315452">
        <w:rPr>
          <w:rFonts w:hint="eastAsia"/>
          <w:sz w:val="28"/>
          <w:szCs w:val="28"/>
        </w:rPr>
        <w:t>Cloning vectors are designed to make copies of DNA sequences. Expression vectors are designed to produce proteins coded by the DNA. As a result, expression vectors require ribosome binding site, t</w:t>
      </w:r>
      <w:r w:rsidR="00315452" w:rsidRPr="00315452">
        <w:rPr>
          <w:rFonts w:hint="eastAsia"/>
          <w:sz w:val="28"/>
          <w:szCs w:val="28"/>
        </w:rPr>
        <w:t xml:space="preserve">ranscription </w:t>
      </w:r>
      <w:r w:rsidR="00315452">
        <w:rPr>
          <w:rFonts w:hint="eastAsia"/>
          <w:sz w:val="28"/>
          <w:szCs w:val="28"/>
        </w:rPr>
        <w:t>t</w:t>
      </w:r>
      <w:r w:rsidR="00315452" w:rsidRPr="00315452">
        <w:rPr>
          <w:rFonts w:hint="eastAsia"/>
          <w:sz w:val="28"/>
          <w:szCs w:val="28"/>
        </w:rPr>
        <w:t>ermination</w:t>
      </w:r>
      <w:r w:rsidR="00315452">
        <w:rPr>
          <w:rFonts w:hint="eastAsia"/>
          <w:sz w:val="28"/>
          <w:szCs w:val="28"/>
        </w:rPr>
        <w:t xml:space="preserve"> </w:t>
      </w:r>
      <w:r w:rsidR="00315452">
        <w:rPr>
          <w:rFonts w:hint="eastAsia"/>
          <w:sz w:val="28"/>
          <w:szCs w:val="28"/>
        </w:rPr>
        <w:lastRenderedPageBreak/>
        <w:t>and Start/Stop codons, sometimes even purification tags.</w:t>
      </w:r>
    </w:p>
    <w:p w14:paraId="239E0863" w14:textId="0A555175" w:rsidR="00253678" w:rsidRPr="00253678" w:rsidRDefault="00253678" w:rsidP="00253678">
      <w:pPr>
        <w:pStyle w:val="a9"/>
        <w:numPr>
          <w:ilvl w:val="0"/>
          <w:numId w:val="2"/>
        </w:numPr>
        <w:jc w:val="both"/>
        <w:rPr>
          <w:rFonts w:hint="eastAsia"/>
          <w:sz w:val="28"/>
          <w:szCs w:val="28"/>
        </w:rPr>
      </w:pPr>
      <w:r w:rsidRPr="00253678">
        <w:rPr>
          <w:rFonts w:hint="eastAsia"/>
          <w:sz w:val="28"/>
          <w:szCs w:val="28"/>
        </w:rPr>
        <w:t>The CRISPR gene-editing system consists of two major components: the Cas9 enzyme and the guide RNA</w:t>
      </w:r>
      <w:r>
        <w:rPr>
          <w:rFonts w:hint="eastAsia"/>
          <w:sz w:val="28"/>
          <w:szCs w:val="28"/>
        </w:rPr>
        <w:t xml:space="preserve">. </w:t>
      </w:r>
      <w:r w:rsidRPr="00253678">
        <w:rPr>
          <w:rFonts w:hint="eastAsia"/>
          <w:sz w:val="28"/>
          <w:szCs w:val="28"/>
        </w:rPr>
        <w:t>The Cas9 finds a PAM sequence on the DNA.</w:t>
      </w:r>
      <w:r>
        <w:rPr>
          <w:rFonts w:hint="eastAsia"/>
          <w:sz w:val="28"/>
          <w:szCs w:val="28"/>
        </w:rPr>
        <w:t xml:space="preserve"> </w:t>
      </w:r>
      <w:r w:rsidRPr="00253678">
        <w:rPr>
          <w:rFonts w:hint="eastAsia"/>
          <w:sz w:val="28"/>
          <w:szCs w:val="28"/>
        </w:rPr>
        <w:t>The gRNA attempts to bind to the DNA next to the PAM.</w:t>
      </w:r>
      <w:r>
        <w:rPr>
          <w:rFonts w:hint="eastAsia"/>
          <w:sz w:val="28"/>
          <w:szCs w:val="28"/>
        </w:rPr>
        <w:t xml:space="preserve"> </w:t>
      </w:r>
      <w:r w:rsidRPr="00253678">
        <w:rPr>
          <w:rFonts w:hint="eastAsia"/>
          <w:sz w:val="28"/>
          <w:szCs w:val="28"/>
        </w:rPr>
        <w:t>If the sequences match, Cas9 undergoes a structural shift and cuts the DNA.</w:t>
      </w:r>
    </w:p>
    <w:p w14:paraId="34328682" w14:textId="0E44DE32" w:rsidR="00D617AA" w:rsidRDefault="00D617AA" w:rsidP="009F2ABD">
      <w:pPr>
        <w:pStyle w:val="a9"/>
        <w:numPr>
          <w:ilvl w:val="0"/>
          <w:numId w:val="2"/>
        </w:numPr>
        <w:jc w:val="both"/>
        <w:rPr>
          <w:sz w:val="28"/>
          <w:szCs w:val="28"/>
        </w:rPr>
      </w:pPr>
    </w:p>
    <w:p w14:paraId="2E23CF51" w14:textId="778F6ADB" w:rsidR="004D7F01" w:rsidRDefault="004D7F01" w:rsidP="004D7F01">
      <w:pPr>
        <w:pStyle w:val="a9"/>
        <w:numPr>
          <w:ilvl w:val="1"/>
          <w:numId w:val="2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NHEJ is a crude method. It only </w:t>
      </w:r>
      <w:r w:rsidRPr="004D7F01">
        <w:rPr>
          <w:sz w:val="28"/>
          <w:szCs w:val="28"/>
        </w:rPr>
        <w:t>recognizes the broken DNA ends</w:t>
      </w:r>
      <w:r>
        <w:rPr>
          <w:rFonts w:hint="eastAsia"/>
          <w:sz w:val="28"/>
          <w:szCs w:val="28"/>
        </w:rPr>
        <w:t>,</w:t>
      </w:r>
      <w:r w:rsidRPr="004D7F01"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then using e</w:t>
      </w:r>
      <w:r w:rsidRPr="004D7F01">
        <w:rPr>
          <w:sz w:val="28"/>
          <w:szCs w:val="28"/>
        </w:rPr>
        <w:t xml:space="preserve">nzymes </w:t>
      </w:r>
      <w:r>
        <w:rPr>
          <w:rFonts w:hint="eastAsia"/>
          <w:sz w:val="28"/>
          <w:szCs w:val="28"/>
        </w:rPr>
        <w:t xml:space="preserve">to </w:t>
      </w:r>
      <w:r w:rsidRPr="004D7F01">
        <w:rPr>
          <w:sz w:val="28"/>
          <w:szCs w:val="28"/>
        </w:rPr>
        <w:t>trim the ragged ends to make them compatible</w:t>
      </w:r>
      <w:r>
        <w:rPr>
          <w:rFonts w:hint="eastAsia"/>
          <w:sz w:val="28"/>
          <w:szCs w:val="28"/>
        </w:rPr>
        <w:t>,</w:t>
      </w:r>
      <w:r w:rsidRPr="004D7F01">
        <w:rPr>
          <w:sz w:val="28"/>
          <w:szCs w:val="28"/>
        </w:rPr>
        <w:t xml:space="preserve"> and then simply </w:t>
      </w:r>
      <w:r w:rsidR="006170E3">
        <w:rPr>
          <w:rFonts w:hint="eastAsia"/>
          <w:sz w:val="28"/>
          <w:szCs w:val="28"/>
        </w:rPr>
        <w:t xml:space="preserve">glues </w:t>
      </w:r>
      <w:r w:rsidRPr="004D7F01">
        <w:rPr>
          <w:sz w:val="28"/>
          <w:szCs w:val="28"/>
        </w:rPr>
        <w:t>them back together.</w:t>
      </w:r>
      <w:r w:rsidR="006170E3">
        <w:rPr>
          <w:rFonts w:hint="eastAsia"/>
          <w:sz w:val="28"/>
          <w:szCs w:val="28"/>
        </w:rPr>
        <w:t xml:space="preserve"> It</w:t>
      </w:r>
      <w:r w:rsidR="006170E3">
        <w:rPr>
          <w:sz w:val="28"/>
          <w:szCs w:val="28"/>
        </w:rPr>
        <w:t>’</w:t>
      </w:r>
      <w:r w:rsidR="006170E3">
        <w:rPr>
          <w:rFonts w:hint="eastAsia"/>
          <w:sz w:val="28"/>
          <w:szCs w:val="28"/>
        </w:rPr>
        <w:t xml:space="preserve">s quick but </w:t>
      </w:r>
      <w:r w:rsidR="006170E3">
        <w:rPr>
          <w:sz w:val="28"/>
          <w:szCs w:val="28"/>
        </w:rPr>
        <w:t>error</w:t>
      </w:r>
      <w:r w:rsidR="006170E3">
        <w:rPr>
          <w:rFonts w:hint="eastAsia"/>
          <w:sz w:val="28"/>
          <w:szCs w:val="28"/>
        </w:rPr>
        <w:t>-prone.</w:t>
      </w:r>
    </w:p>
    <w:p w14:paraId="63F1F37A" w14:textId="000C618C" w:rsidR="006170E3" w:rsidRDefault="006170E3" w:rsidP="004D7F01">
      <w:pPr>
        <w:pStyle w:val="a9"/>
        <w:numPr>
          <w:ilvl w:val="1"/>
          <w:numId w:val="2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HDR is a more concise method. </w:t>
      </w:r>
      <w:r w:rsidRPr="006170E3">
        <w:rPr>
          <w:sz w:val="28"/>
          <w:szCs w:val="28"/>
        </w:rPr>
        <w:t>The cell recruits a homologous DNA sequence to bridge the gap</w:t>
      </w:r>
      <w:r>
        <w:rPr>
          <w:rFonts w:hint="eastAsia"/>
          <w:sz w:val="28"/>
          <w:szCs w:val="28"/>
        </w:rPr>
        <w:t xml:space="preserve">. </w:t>
      </w:r>
      <w:r w:rsidRPr="006170E3">
        <w:rPr>
          <w:sz w:val="28"/>
          <w:szCs w:val="28"/>
        </w:rPr>
        <w:t>It uses this matching DNA as a template to resynthesize the missing or broken parts.</w:t>
      </w:r>
      <w:r>
        <w:rPr>
          <w:rFonts w:hint="eastAsia"/>
          <w:sz w:val="28"/>
          <w:szCs w:val="28"/>
        </w:rPr>
        <w:t xml:space="preserve"> It</w:t>
      </w:r>
      <w:r>
        <w:rPr>
          <w:sz w:val="28"/>
          <w:szCs w:val="28"/>
        </w:rPr>
        <w:t>’</w:t>
      </w:r>
      <w:r>
        <w:rPr>
          <w:rFonts w:hint="eastAsia"/>
          <w:sz w:val="28"/>
          <w:szCs w:val="28"/>
        </w:rPr>
        <w:t xml:space="preserve">s </w:t>
      </w:r>
      <w:r w:rsidR="008C1E3D">
        <w:rPr>
          <w:rFonts w:hint="eastAsia"/>
          <w:sz w:val="28"/>
          <w:szCs w:val="28"/>
        </w:rPr>
        <w:t>slow but accurate.</w:t>
      </w:r>
    </w:p>
    <w:p w14:paraId="2658FFD6" w14:textId="5B8F3A0E" w:rsidR="00FD078E" w:rsidRPr="00FD078E" w:rsidRDefault="00FD078E" w:rsidP="00FD078E">
      <w:pPr>
        <w:pStyle w:val="a9"/>
        <w:numPr>
          <w:ilvl w:val="0"/>
          <w:numId w:val="2"/>
        </w:numPr>
        <w:jc w:val="both"/>
        <w:rPr>
          <w:rFonts w:hint="eastAsia"/>
          <w:sz w:val="28"/>
          <w:szCs w:val="28"/>
        </w:rPr>
      </w:pPr>
      <w:r w:rsidRPr="00FD078E">
        <w:rPr>
          <w:rFonts w:hint="eastAsia"/>
          <w:sz w:val="28"/>
          <w:szCs w:val="28"/>
        </w:rPr>
        <w:t>Genetically modified foods offer significant potential to address global food security. By engineering crops for pest resistance, drought tolerance and enhanced nutrition</w:t>
      </w:r>
      <w:r>
        <w:rPr>
          <w:rFonts w:hint="eastAsia"/>
          <w:sz w:val="28"/>
          <w:szCs w:val="28"/>
        </w:rPr>
        <w:t xml:space="preserve">, </w:t>
      </w:r>
      <w:r w:rsidRPr="00FD078E">
        <w:rPr>
          <w:rFonts w:hint="eastAsia"/>
          <w:sz w:val="28"/>
          <w:szCs w:val="28"/>
        </w:rPr>
        <w:t>GM technology</w:t>
      </w:r>
      <w:r w:rsidR="00851713">
        <w:rPr>
          <w:rFonts w:hint="eastAsia"/>
          <w:sz w:val="28"/>
          <w:szCs w:val="28"/>
        </w:rPr>
        <w:t xml:space="preserve"> has</w:t>
      </w:r>
      <w:r w:rsidRPr="00FD078E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indeed</w:t>
      </w:r>
      <w:r w:rsidRPr="00FD078E">
        <w:rPr>
          <w:rFonts w:hint="eastAsia"/>
          <w:sz w:val="28"/>
          <w:szCs w:val="28"/>
        </w:rPr>
        <w:t xml:space="preserve"> increase</w:t>
      </w:r>
      <w:r w:rsidR="00851713">
        <w:rPr>
          <w:rFonts w:hint="eastAsia"/>
          <w:sz w:val="28"/>
          <w:szCs w:val="28"/>
        </w:rPr>
        <w:t>d</w:t>
      </w:r>
      <w:r w:rsidRPr="00FD078E">
        <w:rPr>
          <w:rFonts w:hint="eastAsia"/>
          <w:sz w:val="28"/>
          <w:szCs w:val="28"/>
        </w:rPr>
        <w:t xml:space="preserve"> yields and reduce</w:t>
      </w:r>
      <w:r w:rsidR="008D5EB7">
        <w:rPr>
          <w:rFonts w:hint="eastAsia"/>
          <w:sz w:val="28"/>
          <w:szCs w:val="28"/>
        </w:rPr>
        <w:t>d</w:t>
      </w:r>
      <w:r w:rsidRPr="00FD078E">
        <w:rPr>
          <w:rFonts w:hint="eastAsia"/>
          <w:sz w:val="28"/>
          <w:szCs w:val="28"/>
        </w:rPr>
        <w:t xml:space="preserve"> chemical pesticide use. Scientifically, major organizations like the WHO and FDA deem approved GM crops safe for consumption.</w:t>
      </w:r>
    </w:p>
    <w:p w14:paraId="02EC4F01" w14:textId="5A60ED83" w:rsidR="008C1E3D" w:rsidRDefault="00FD078E" w:rsidP="00FD078E">
      <w:pPr>
        <w:pStyle w:val="a9"/>
        <w:ind w:left="360"/>
        <w:jc w:val="both"/>
        <w:rPr>
          <w:sz w:val="28"/>
          <w:szCs w:val="28"/>
        </w:rPr>
      </w:pPr>
      <w:r w:rsidRPr="00FD078E">
        <w:rPr>
          <w:rFonts w:hint="eastAsia"/>
          <w:sz w:val="28"/>
          <w:szCs w:val="28"/>
        </w:rPr>
        <w:t xml:space="preserve">However, public concerns </w:t>
      </w:r>
      <w:r w:rsidR="008D5EB7">
        <w:rPr>
          <w:rFonts w:hint="eastAsia"/>
          <w:sz w:val="28"/>
          <w:szCs w:val="28"/>
        </w:rPr>
        <w:t>regarding</w:t>
      </w:r>
      <w:r w:rsidR="005E15C3">
        <w:rPr>
          <w:rFonts w:hint="eastAsia"/>
          <w:sz w:val="28"/>
          <w:szCs w:val="28"/>
        </w:rPr>
        <w:t xml:space="preserve"> aspects</w:t>
      </w:r>
      <w:r w:rsidR="008D5EB7">
        <w:rPr>
          <w:rFonts w:hint="eastAsia"/>
          <w:sz w:val="28"/>
          <w:szCs w:val="28"/>
        </w:rPr>
        <w:t xml:space="preserve"> such as</w:t>
      </w:r>
      <w:r w:rsidRPr="00FD078E">
        <w:rPr>
          <w:rFonts w:hint="eastAsia"/>
          <w:sz w:val="28"/>
          <w:szCs w:val="28"/>
        </w:rPr>
        <w:t xml:space="preserve"> biodiversity</w:t>
      </w:r>
      <w:r w:rsidR="008D5EB7">
        <w:rPr>
          <w:rFonts w:hint="eastAsia"/>
          <w:sz w:val="28"/>
          <w:szCs w:val="28"/>
        </w:rPr>
        <w:t xml:space="preserve"> or</w:t>
      </w:r>
      <w:r w:rsidRPr="00FD078E">
        <w:rPr>
          <w:rFonts w:hint="eastAsia"/>
          <w:sz w:val="28"/>
          <w:szCs w:val="28"/>
        </w:rPr>
        <w:t xml:space="preserve"> </w:t>
      </w:r>
      <w:r w:rsidRPr="00FD078E">
        <w:rPr>
          <w:rFonts w:hint="eastAsia"/>
          <w:sz w:val="28"/>
          <w:szCs w:val="28"/>
        </w:rPr>
        <w:lastRenderedPageBreak/>
        <w:t>potential allergens are valid socio-economic issues. Therefore, a balanced view supports GM technology as a crucial tool for sustainable agriculture, provided it is accompanied by rigorous safety testing, environmental monitoring, and transparent labeling to respect consumer choice.</w:t>
      </w:r>
    </w:p>
    <w:p w14:paraId="4C6A23A2" w14:textId="131ED2CD" w:rsidR="002107C5" w:rsidRDefault="002107C5" w:rsidP="002107C5">
      <w:pPr>
        <w:pStyle w:val="a9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rStyle w:val="af0"/>
          <w:rFonts w:hint="eastAsia"/>
          <w:sz w:val="28"/>
          <w:szCs w:val="28"/>
        </w:rPr>
        <w:footnoteReference w:id="1"/>
      </w:r>
    </w:p>
    <w:p w14:paraId="5D097E9F" w14:textId="77777777" w:rsidR="002107C5" w:rsidRDefault="002107C5" w:rsidP="002107C5">
      <w:pPr>
        <w:pStyle w:val="a9"/>
        <w:numPr>
          <w:ilvl w:val="1"/>
          <w:numId w:val="2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Knock out/in</w:t>
      </w:r>
    </w:p>
    <w:p w14:paraId="1082A53E" w14:textId="51E1C32D" w:rsidR="002107C5" w:rsidRDefault="002107C5" w:rsidP="002107C5">
      <w:pPr>
        <w:pStyle w:val="a9"/>
        <w:numPr>
          <w:ilvl w:val="1"/>
          <w:numId w:val="2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Repression/Activation</w:t>
      </w:r>
    </w:p>
    <w:p w14:paraId="50955992" w14:textId="2A4F61F3" w:rsidR="002107C5" w:rsidRDefault="002107C5" w:rsidP="002107C5">
      <w:pPr>
        <w:pStyle w:val="a9"/>
        <w:numPr>
          <w:ilvl w:val="1"/>
          <w:numId w:val="2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Single base mutation</w:t>
      </w:r>
    </w:p>
    <w:p w14:paraId="03CDC30B" w14:textId="582EB928" w:rsidR="002107C5" w:rsidRDefault="002107C5" w:rsidP="002107C5">
      <w:pPr>
        <w:pStyle w:val="a9"/>
        <w:numPr>
          <w:ilvl w:val="1"/>
          <w:numId w:val="2"/>
        </w:numPr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DNA site staining</w:t>
      </w:r>
    </w:p>
    <w:p w14:paraId="7E3EF755" w14:textId="666ED353" w:rsidR="002107C5" w:rsidRPr="002107C5" w:rsidRDefault="002107C5" w:rsidP="002107C5">
      <w:pPr>
        <w:pStyle w:val="a9"/>
        <w:numPr>
          <w:ilvl w:val="1"/>
          <w:numId w:val="2"/>
        </w:numPr>
        <w:jc w:val="both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Detect COVID-19(SHERLOCK)</w:t>
      </w:r>
    </w:p>
    <w:sectPr w:rsidR="002107C5" w:rsidRPr="002107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A014D" w14:textId="77777777" w:rsidR="000F6DD5" w:rsidRDefault="000F6DD5" w:rsidP="002107C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BCEE384" w14:textId="77777777" w:rsidR="000F6DD5" w:rsidRDefault="000F6DD5" w:rsidP="002107C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FB15F" w14:textId="77777777" w:rsidR="000F6DD5" w:rsidRDefault="000F6DD5" w:rsidP="002107C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4A59965" w14:textId="77777777" w:rsidR="000F6DD5" w:rsidRDefault="000F6DD5" w:rsidP="002107C5">
      <w:pPr>
        <w:spacing w:after="0" w:line="240" w:lineRule="auto"/>
        <w:rPr>
          <w:rFonts w:hint="eastAsia"/>
        </w:rPr>
      </w:pPr>
      <w:r>
        <w:continuationSeparator/>
      </w:r>
    </w:p>
  </w:footnote>
  <w:footnote w:id="1">
    <w:p w14:paraId="2089B67A" w14:textId="3C8DE31C" w:rsidR="002107C5" w:rsidRPr="002107C5" w:rsidRDefault="002107C5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</w:t>
      </w:r>
      <w:r w:rsidRPr="002107C5">
        <w:t xml:space="preserve">Arnold, C. (2021). What’s new in clinical CRISPR? </w:t>
      </w:r>
      <w:r w:rsidRPr="002107C5">
        <w:rPr>
          <w:i/>
          <w:iCs/>
        </w:rPr>
        <w:t>Nature Medicine</w:t>
      </w:r>
      <w:r w:rsidRPr="002107C5">
        <w:t xml:space="preserve">, </w:t>
      </w:r>
      <w:r w:rsidRPr="002107C5">
        <w:rPr>
          <w:i/>
          <w:iCs/>
        </w:rPr>
        <w:t>27</w:t>
      </w:r>
      <w:r w:rsidRPr="002107C5">
        <w:t xml:space="preserve">(2), 184–185. </w:t>
      </w:r>
      <w:hyperlink r:id="rId1" w:history="1">
        <w:r w:rsidRPr="002107C5">
          <w:rPr>
            <w:rStyle w:val="af1"/>
          </w:rPr>
          <w:t>https://doi.org/10.1038/s41591-020-01222-4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819E6"/>
    <w:multiLevelType w:val="hybridMultilevel"/>
    <w:tmpl w:val="A268DDD4"/>
    <w:lvl w:ilvl="0" w:tplc="631A4D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F42081A"/>
    <w:multiLevelType w:val="hybridMultilevel"/>
    <w:tmpl w:val="018CD8EE"/>
    <w:lvl w:ilvl="0" w:tplc="CD3C22CA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101952308">
    <w:abstractNumId w:val="1"/>
  </w:num>
  <w:num w:numId="2" w16cid:durableId="508519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4AA"/>
    <w:rsid w:val="000F6DD5"/>
    <w:rsid w:val="001F5EE0"/>
    <w:rsid w:val="002107C5"/>
    <w:rsid w:val="00253678"/>
    <w:rsid w:val="0030245A"/>
    <w:rsid w:val="00315452"/>
    <w:rsid w:val="004D7F01"/>
    <w:rsid w:val="005C4EA0"/>
    <w:rsid w:val="005E15C3"/>
    <w:rsid w:val="006170E3"/>
    <w:rsid w:val="00654599"/>
    <w:rsid w:val="007866B8"/>
    <w:rsid w:val="007B1789"/>
    <w:rsid w:val="00851713"/>
    <w:rsid w:val="008C1E3D"/>
    <w:rsid w:val="008D5EB7"/>
    <w:rsid w:val="009F2ABD"/>
    <w:rsid w:val="00A12634"/>
    <w:rsid w:val="00AA764C"/>
    <w:rsid w:val="00B16274"/>
    <w:rsid w:val="00B76F66"/>
    <w:rsid w:val="00D617AA"/>
    <w:rsid w:val="00DD54AA"/>
    <w:rsid w:val="00FD0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9C1D6"/>
  <w15:chartTrackingRefBased/>
  <w15:docId w15:val="{9C3DB146-1AC4-44F2-A972-43FC4E03B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D54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54A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4A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DD54A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4A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4A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4A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4A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4A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5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4A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DD54A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4A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4A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4A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4A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4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4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54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5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54A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54A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D54AA"/>
    <w:rPr>
      <w:b/>
      <w:bCs/>
      <w:smallCaps/>
      <w:color w:val="0F4761" w:themeColor="accent1" w:themeShade="BF"/>
      <w:spacing w:val="5"/>
    </w:rPr>
  </w:style>
  <w:style w:type="paragraph" w:styleId="ae">
    <w:name w:val="footnote text"/>
    <w:basedOn w:val="a"/>
    <w:link w:val="af"/>
    <w:uiPriority w:val="99"/>
    <w:semiHidden/>
    <w:unhideWhenUsed/>
    <w:rsid w:val="002107C5"/>
    <w:pPr>
      <w:snapToGrid w:val="0"/>
    </w:pPr>
    <w:rPr>
      <w:sz w:val="18"/>
      <w:szCs w:val="18"/>
    </w:rPr>
  </w:style>
  <w:style w:type="character" w:customStyle="1" w:styleId="af">
    <w:name w:val="脚注文本 字符"/>
    <w:basedOn w:val="a0"/>
    <w:link w:val="ae"/>
    <w:uiPriority w:val="99"/>
    <w:semiHidden/>
    <w:rsid w:val="002107C5"/>
    <w:rPr>
      <w:sz w:val="18"/>
      <w:szCs w:val="18"/>
    </w:rPr>
  </w:style>
  <w:style w:type="character" w:styleId="af0">
    <w:name w:val="footnote reference"/>
    <w:basedOn w:val="a0"/>
    <w:uiPriority w:val="99"/>
    <w:semiHidden/>
    <w:unhideWhenUsed/>
    <w:rsid w:val="002107C5"/>
    <w:rPr>
      <w:vertAlign w:val="superscript"/>
    </w:rPr>
  </w:style>
  <w:style w:type="character" w:styleId="af1">
    <w:name w:val="Hyperlink"/>
    <w:basedOn w:val="a0"/>
    <w:uiPriority w:val="99"/>
    <w:unhideWhenUsed/>
    <w:rsid w:val="002107C5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2107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doi.org/10.1038/s41591-020-01222-4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E102D8-06CE-4CAA-9A86-5DE153F86D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405</Words>
  <Characters>2311</Characters>
  <Application>Microsoft Office Word</Application>
  <DocSecurity>0</DocSecurity>
  <Lines>19</Lines>
  <Paragraphs>5</Paragraphs>
  <ScaleCrop>false</ScaleCrop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鉴轩 姚</dc:creator>
  <cp:keywords/>
  <dc:description/>
  <cp:lastModifiedBy>鉴轩 姚</cp:lastModifiedBy>
  <cp:revision>16</cp:revision>
  <dcterms:created xsi:type="dcterms:W3CDTF">2025-11-21T21:34:00Z</dcterms:created>
  <dcterms:modified xsi:type="dcterms:W3CDTF">2025-11-21T23:03:00Z</dcterms:modified>
</cp:coreProperties>
</file>