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96"/>
          <w:szCs w:val="96"/>
        </w:rPr>
        <w:t xml:space="preserve">GRAVITY</w:t>
      </w:r>
    </w:p>
    <w:p>
      <w:pPr>
        <w:spacing w:after="400"/>
        <w:jc w:val="center"/>
      </w:pPr>
      <w:r>
        <w:rPr>
          <w:i/>
          <w:iCs/>
          <w:color w:val="2E75B6"/>
          <w:sz w:val="32"/>
          <w:szCs w:val="32"/>
        </w:rPr>
        <w:t xml:space="preserve">AI-Powered Wealth Consolidation Intelligence</w:t>
      </w:r>
    </w:p>
    <w:p>
      <w:pPr>
        <w:spacing w:after="200"/>
        <w:jc w:val="center"/>
      </w:pPr>
      <w:r>
        <w:rPr>
          <w:b/>
          <w:bCs/>
          <w:sz w:val="28"/>
          <w:szCs w:val="28"/>
        </w:rPr>
        <w:t xml:space="preserve">Product Requirements Document</w:t>
      </w:r>
    </w:p>
    <w:p>
      <w:pPr>
        <w:spacing w:after="800"/>
        <w:jc w:val="center"/>
      </w:pPr>
      <w:r>
        <w:rPr>
          <w:color w:val="666666"/>
          <w:sz w:val="22"/>
          <w:szCs w:val="22"/>
        </w:rPr>
        <w:t xml:space="preserve">Version 1.0 — Hackathon MVP Scope</w:t>
      </w:r>
    </w:p>
    <w:p>
      <w:pPr>
        <w:spacing w:after="120"/>
        <w:jc w:val="center"/>
      </w:pPr>
      <w:r>
        <w:rPr>
          <w:sz w:val="22"/>
          <w:szCs w:val="22"/>
        </w:rPr>
        <w:t xml:space="preserve">2026 Citi Wealth Hackathon</w:t>
      </w:r>
    </w:p>
    <w:p>
      <w:pPr>
        <w:spacing w:after="120"/>
        <w:jc w:val="center"/>
      </w:pPr>
      <w:r>
        <w:rPr>
          <w:sz w:val="22"/>
          <w:szCs w:val="22"/>
        </w:rPr>
        <w:t xml:space="preserve">Wealth Intelligence Arena</w:t>
      </w:r>
    </w:p>
    <w:p>
      <w:pPr>
        <w:spacing w:after="120"/>
        <w:jc w:val="center"/>
      </w:pPr>
      <w:r>
        <w:rPr>
          <w:sz w:val="22"/>
          <w:szCs w:val="22"/>
        </w:rPr>
        <w:t xml:space="preserve">Grand Finale: August 10, 2026</w:t>
      </w:r>
    </w:p>
    <w:p>
      <w:r>
        <w:br w:type="page"/>
      </w:r>
    </w:p>
    <w:p>
      <w:pPr>
        <w:pStyle w:val="Heading1"/>
        <w:spacing w:after="180" w:before="360"/>
      </w:pPr>
      <w:r>
        <w:rPr>
          <w:b/>
          <w:bCs/>
          <w:color w:val="1F4E79"/>
          <w:sz w:val="32"/>
          <w:szCs w:val="32"/>
        </w:rPr>
        <w:t xml:space="preserve">1. Executive Summary</w:t>
      </w:r>
    </w:p>
    <w:p>
      <w:pPr>
        <w:spacing w:after="120"/>
      </w:pPr>
      <w:r>
        <w:rPr>
          <w:sz w:val="22"/>
          <w:szCs w:val="22"/>
        </w:rPr>
        <w:t xml:space="preserve">Gravity is an agentic AI system that identifies, sizes, prioritizes, and prepares the compliant conversion of clients' held-away wealth — assets held at competitor institutions — into net new AUM for Citi. It targets the single largest growth lever available to Citi Wealth: the ~80% of clients' ~$5T in wealth that today sits outside Citi.</w:t>
      </w:r>
    </w:p>
    <w:p>
      <w:pPr>
        <w:pStyle w:val="Heading2"/>
        <w:spacing w:after="140" w:before="280"/>
      </w:pPr>
      <w:r>
        <w:rPr>
          <w:b/>
          <w:bCs/>
          <w:color w:val="2E75B6"/>
          <w:sz w:val="26"/>
          <w:szCs w:val="26"/>
        </w:rPr>
        <w:t xml:space="preserve">1.1 The Opportunity</w:t>
      </w:r>
    </w:p>
    <w:p>
      <w:pPr>
        <w:spacing w:after="120"/>
      </w:pPr>
      <w:r>
        <w:rPr>
          <w:sz w:val="22"/>
          <w:szCs w:val="22"/>
        </w:rPr>
        <w:t xml:space="preserve">Citi Wealth captures roughly 20% wallet share of its existing clients' wealth. The remaining 80% is a captive audience — clients Citi already knows, already serves — whose external assets are the most efficient source of net new flows on a risk-adjusted basis. Existing Citi AI tools (Portfolio Intelligence, AskWealth CIO, Client 360, CitiScribe) optimize the client-Citi relationship as it exists today. None systematically discover, size, or convert what sits elsewhere.</w:t>
      </w:r>
    </w:p>
    <w:p>
      <w:pPr>
        <w:pStyle w:val="Heading2"/>
        <w:spacing w:after="140" w:before="280"/>
      </w:pPr>
      <w:r>
        <w:rPr>
          <w:b/>
          <w:bCs/>
          <w:color w:val="2E75B6"/>
          <w:sz w:val="26"/>
          <w:szCs w:val="26"/>
        </w:rPr>
        <w:t xml:space="preserve">1.2 The Approach</w:t>
      </w:r>
    </w:p>
    <w:p>
      <w:pPr>
        <w:spacing w:after="120"/>
      </w:pPr>
      <w:r>
        <w:rPr>
          <w:sz w:val="22"/>
          <w:szCs w:val="22"/>
        </w:rPr>
        <w:t xml:space="preserve">Gravity fuses four heterogeneous held-away signal families (Citi cash-management sweeps, credit-application disclosures, consented aggregation, and an industry consortium benchmark), applies a specificity-weighted probabilistic inference to produce a confidence-scored held-away estimate per client, ranks the resulting opportunities by expected net flow across seven factors, generates a client-specific consolidation play with an auto-selected Citi value proposition, and passes every recommendation through an independent AI compliance gauntlet before an advisor ever sees it. The advisor sees a ranked action list; every recommendation carries a full evidence trail, a confidence band, and a plain-language rationale.</w:t>
      </w:r>
    </w:p>
    <w:p>
      <w:pPr>
        <w:pStyle w:val="Heading2"/>
        <w:spacing w:after="140" w:before="280"/>
      </w:pPr>
      <w:r>
        <w:rPr>
          <w:b/>
          <w:bCs/>
          <w:color w:val="2E75B6"/>
          <w:sz w:val="26"/>
          <w:szCs w:val="26"/>
        </w:rPr>
        <w:t xml:space="preserve">1.3 The Differentiators</w:t>
      </w:r>
    </w:p>
    <w:p>
      <w:pPr>
        <w:pStyle w:val="ListParagraph"/>
        <w:numPr>
          <w:ilvl w:val="0"/>
          <w:numId w:val="2"/>
        </w:numPr>
        <w:spacing w:after="60"/>
      </w:pPr>
      <w:r>
        <w:rPr>
          <w:sz w:val="22"/>
          <w:szCs w:val="22"/>
        </w:rPr>
        <w:t xml:space="preserve">Attacks external assets, not internal ones — the actual white space in Citi's Wealth AI stack.</w:t>
      </w:r>
    </w:p>
    <w:p>
      <w:pPr>
        <w:pStyle w:val="ListParagraph"/>
        <w:numPr>
          <w:ilvl w:val="0"/>
          <w:numId w:val="2"/>
        </w:numPr>
        <w:spacing w:after="60"/>
      </w:pPr>
      <w:r>
        <w:rPr>
          <w:sz w:val="22"/>
          <w:szCs w:val="22"/>
        </w:rPr>
        <w:t xml:space="preserve">Explicitly probabilistic with published confidence bands, not deterministic claims.</w:t>
      </w:r>
    </w:p>
    <w:p>
      <w:pPr>
        <w:pStyle w:val="ListParagraph"/>
        <w:numPr>
          <w:ilvl w:val="0"/>
          <w:numId w:val="2"/>
        </w:numPr>
        <w:spacing w:after="60"/>
      </w:pPr>
      <w:r>
        <w:rPr>
          <w:sz w:val="22"/>
          <w:szCs w:val="22"/>
        </w:rPr>
        <w:t xml:space="preserve">Regime-aware — the system knows which clients it can see clearly and honestly abstains on the rest.</w:t>
      </w:r>
    </w:p>
    <w:p>
      <w:pPr>
        <w:pStyle w:val="ListParagraph"/>
        <w:numPr>
          <w:ilvl w:val="0"/>
          <w:numId w:val="2"/>
        </w:numPr>
        <w:spacing w:after="60"/>
      </w:pPr>
      <w:r>
        <w:rPr>
          <w:sz w:val="22"/>
          <w:szCs w:val="22"/>
        </w:rPr>
        <w:t xml:space="preserve">Compliance-by-construction: independent AI verifier, human-in-the-loop, immutable audit trail.</w:t>
      </w:r>
    </w:p>
    <w:p>
      <w:pPr>
        <w:pStyle w:val="ListParagraph"/>
        <w:numPr>
          <w:ilvl w:val="0"/>
          <w:numId w:val="2"/>
        </w:numPr>
        <w:spacing w:after="60"/>
      </w:pPr>
      <w:r>
        <w:rPr>
          <w:sz w:val="22"/>
          <w:szCs w:val="22"/>
        </w:rPr>
        <w:t xml:space="preserve">Opportunity Simulator: turns detection into decision intelligence, not just a list.</w:t>
      </w:r>
    </w:p>
    <w:p>
      <w:pPr>
        <w:pStyle w:val="ListParagraph"/>
        <w:numPr>
          <w:ilvl w:val="0"/>
          <w:numId w:val="2"/>
        </w:numPr>
        <w:spacing w:after="60"/>
      </w:pPr>
      <w:r>
        <w:rPr>
          <w:sz w:val="22"/>
          <w:szCs w:val="22"/>
        </w:rPr>
        <w:t xml:space="preserve">Relationship graph: family-level opportunities, not just individual-level.</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PRD scope: </w:t>
      </w:r>
      <w:r>
        <w:rPr>
          <w:sz w:val="22"/>
          <w:szCs w:val="22"/>
        </w:rPr>
        <w:t xml:space="preserve">This document specifies the Hackathon MVP scope — what will exist in the working prototype demoed on August 10th. A Post-Hackathon section at the end lists deferred capabilities (real-time ACATS tracking, model retraining, full compliance rules engine, production data connectors) so scope is explicit and not lost.</w:t>
      </w:r>
    </w:p>
    <w:p>
      <w:r>
        <w:br w:type="page"/>
      </w:r>
    </w:p>
    <w:p>
      <w:pPr>
        <w:pStyle w:val="Heading1"/>
        <w:spacing w:after="180" w:before="360"/>
      </w:pPr>
      <w:r>
        <w:rPr>
          <w:b/>
          <w:bCs/>
          <w:color w:val="1F4E79"/>
          <w:sz w:val="32"/>
          <w:szCs w:val="32"/>
        </w:rPr>
        <w:t xml:space="preserve">2. Goals and Non-Goals</w:t>
      </w:r>
    </w:p>
    <w:p>
      <w:pPr>
        <w:pStyle w:val="Heading2"/>
        <w:spacing w:after="140" w:before="280"/>
      </w:pPr>
      <w:r>
        <w:rPr>
          <w:b/>
          <w:bCs/>
          <w:color w:val="2E75B6"/>
          <w:sz w:val="26"/>
          <w:szCs w:val="26"/>
        </w:rPr>
        <w:t xml:space="preserve">2.1 Hackathon Success Criteria</w:t>
      </w:r>
    </w:p>
    <w:p>
      <w:pPr>
        <w:spacing w:after="120"/>
      </w:pPr>
      <w:r>
        <w:rPr>
          <w:sz w:val="22"/>
          <w:szCs w:val="22"/>
        </w:rPr>
        <w:t xml:space="preserve">The MVP is successful if, in a 5-minute demo, it can:</w:t>
      </w:r>
    </w:p>
    <w:p>
      <w:pPr>
        <w:pStyle w:val="ListParagraph"/>
        <w:numPr>
          <w:ilvl w:val="0"/>
          <w:numId w:val="3"/>
        </w:numPr>
        <w:spacing w:after="60"/>
      </w:pPr>
      <w:r>
        <w:rPr>
          <w:sz w:val="22"/>
          <w:szCs w:val="22"/>
        </w:rPr>
        <w:t xml:space="preserve">Show a ranked opportunity list generated from synthetic data with explainable ranking factors.</w:t>
      </w:r>
    </w:p>
    <w:p>
      <w:pPr>
        <w:pStyle w:val="ListParagraph"/>
        <w:numPr>
          <w:ilvl w:val="0"/>
          <w:numId w:val="3"/>
        </w:numPr>
        <w:spacing w:after="60"/>
      </w:pPr>
      <w:r>
        <w:rPr>
          <w:sz w:val="22"/>
          <w:szCs w:val="22"/>
        </w:rPr>
        <w:t xml:space="preserve">Drill into a top opportunity, showing the evidence trail with per-signal specificity and a probabilistic size band.</w:t>
      </w:r>
    </w:p>
    <w:p>
      <w:pPr>
        <w:pStyle w:val="ListParagraph"/>
        <w:numPr>
          <w:ilvl w:val="0"/>
          <w:numId w:val="3"/>
        </w:numPr>
        <w:spacing w:after="60"/>
      </w:pPr>
      <w:r>
        <w:rPr>
          <w:sz w:val="22"/>
          <w:szCs w:val="22"/>
        </w:rPr>
        <w:t xml:space="preserve">Generate a client-specific consolidation play citing at least one concrete Citi differentiator.</w:t>
      </w:r>
    </w:p>
    <w:p>
      <w:pPr>
        <w:pStyle w:val="ListParagraph"/>
        <w:numPr>
          <w:ilvl w:val="0"/>
          <w:numId w:val="3"/>
        </w:numPr>
        <w:spacing w:after="60"/>
      </w:pPr>
      <w:r>
        <w:rPr>
          <w:sz w:val="22"/>
          <w:szCs w:val="22"/>
        </w:rPr>
        <w:t xml:space="preserve">Run a compliance/suitability check that visibly BLOCKS an unsuitable recommendation.</w:t>
      </w:r>
    </w:p>
    <w:p>
      <w:pPr>
        <w:pStyle w:val="ListParagraph"/>
        <w:numPr>
          <w:ilvl w:val="0"/>
          <w:numId w:val="3"/>
        </w:numPr>
        <w:spacing w:after="60"/>
      </w:pPr>
      <w:r>
        <w:rPr>
          <w:sz w:val="22"/>
          <w:szCs w:val="22"/>
        </w:rPr>
        <w:t xml:space="preserve">Correctly ABSTAIN on a high-value client whose signal regime does not support high-confidence inference (the honest silo case).</w:t>
      </w:r>
    </w:p>
    <w:p>
      <w:pPr>
        <w:pStyle w:val="ListParagraph"/>
        <w:numPr>
          <w:ilvl w:val="0"/>
          <w:numId w:val="3"/>
        </w:numPr>
        <w:spacing w:after="60"/>
      </w:pPr>
      <w:r>
        <w:rPr>
          <w:sz w:val="22"/>
          <w:szCs w:val="22"/>
        </w:rPr>
        <w:t xml:space="preserve">Simulate a consolidation scenario in the Opportunity Simulator ("what if this client moves 40%?").</w:t>
      </w:r>
    </w:p>
    <w:p>
      <w:pPr>
        <w:pStyle w:val="ListParagraph"/>
        <w:numPr>
          <w:ilvl w:val="0"/>
          <w:numId w:val="3"/>
        </w:numPr>
        <w:spacing w:after="60"/>
      </w:pPr>
      <w:r>
        <w:rPr>
          <w:sz w:val="22"/>
          <w:szCs w:val="22"/>
        </w:rPr>
        <w:t xml:space="preserve">Report KPIs by signal regime, not just blended — proving the model's honesty about what it can and cannot see.</w:t>
      </w:r>
    </w:p>
    <w:p>
      <w:pPr>
        <w:pStyle w:val="ListParagraph"/>
        <w:numPr>
          <w:ilvl w:val="0"/>
          <w:numId w:val="3"/>
        </w:numPr>
        <w:spacing w:after="60"/>
      </w:pPr>
      <w:r>
        <w:rPr>
          <w:sz w:val="22"/>
          <w:szCs w:val="22"/>
        </w:rPr>
        <w:t xml:space="preserve">Operate against any of the three provided frontier model providers via a Settings page — no code changes at demo time.</w:t>
      </w:r>
    </w:p>
    <w:p>
      <w:pPr>
        <w:pStyle w:val="Heading2"/>
        <w:spacing w:after="140" w:before="280"/>
      </w:pPr>
      <w:r>
        <w:rPr>
          <w:b/>
          <w:bCs/>
          <w:color w:val="2E75B6"/>
          <w:sz w:val="26"/>
          <w:szCs w:val="26"/>
        </w:rPr>
        <w:t xml:space="preserve">2.2 Non-Goals for MVP</w:t>
      </w:r>
    </w:p>
    <w:p>
      <w:pPr>
        <w:pStyle w:val="ListParagraph"/>
        <w:numPr>
          <w:ilvl w:val="0"/>
          <w:numId w:val="2"/>
        </w:numPr>
        <w:spacing w:after="60"/>
      </w:pPr>
      <w:r>
        <w:rPr>
          <w:sz w:val="22"/>
          <w:szCs w:val="22"/>
        </w:rPr>
        <w:t xml:space="preserve">Real Citi data integration. All data is synthetic.</w:t>
      </w:r>
    </w:p>
    <w:p>
      <w:pPr>
        <w:pStyle w:val="ListParagraph"/>
        <w:numPr>
          <w:ilvl w:val="0"/>
          <w:numId w:val="2"/>
        </w:numPr>
        <w:spacing w:after="60"/>
      </w:pPr>
      <w:r>
        <w:rPr>
          <w:sz w:val="22"/>
          <w:szCs w:val="22"/>
        </w:rPr>
        <w:t xml:space="preserve">Client-facing UI. Advisor-facing only.</w:t>
      </w:r>
    </w:p>
    <w:p>
      <w:pPr>
        <w:pStyle w:val="ListParagraph"/>
        <w:numPr>
          <w:ilvl w:val="0"/>
          <w:numId w:val="2"/>
        </w:numPr>
        <w:spacing w:after="60"/>
      </w:pPr>
      <w:r>
        <w:rPr>
          <w:sz w:val="22"/>
          <w:szCs w:val="22"/>
        </w:rPr>
        <w:t xml:space="preserve">Model fine-tuning or training loops.</w:t>
      </w:r>
    </w:p>
    <w:p>
      <w:pPr>
        <w:pStyle w:val="ListParagraph"/>
        <w:numPr>
          <w:ilvl w:val="0"/>
          <w:numId w:val="2"/>
        </w:numPr>
        <w:spacing w:after="60"/>
      </w:pPr>
      <w:r>
        <w:rPr>
          <w:sz w:val="22"/>
          <w:szCs w:val="22"/>
        </w:rPr>
        <w:t xml:space="preserve">Full production compliance rules engine (12+ controls). MVP implements a representative subset with the extension pattern in place.</w:t>
      </w:r>
    </w:p>
    <w:p>
      <w:pPr>
        <w:pStyle w:val="ListParagraph"/>
        <w:numPr>
          <w:ilvl w:val="0"/>
          <w:numId w:val="2"/>
        </w:numPr>
        <w:spacing w:after="60"/>
      </w:pPr>
      <w:r>
        <w:rPr>
          <w:sz w:val="22"/>
          <w:szCs w:val="22"/>
        </w:rPr>
        <w:t xml:space="preserve">Automated ACATS initiation. Advisor exports a package; actual transfer initiation is out of scope.</w:t>
      </w:r>
    </w:p>
    <w:p>
      <w:pPr>
        <w:pStyle w:val="ListParagraph"/>
        <w:numPr>
          <w:ilvl w:val="0"/>
          <w:numId w:val="2"/>
        </w:numPr>
        <w:spacing w:after="60"/>
      </w:pPr>
      <w:r>
        <w:rPr>
          <w:sz w:val="22"/>
          <w:szCs w:val="22"/>
        </w:rPr>
        <w:t xml:space="preserve">Real-time feedback loop retraining. Advisor rejection reasons are captured; retraining is not implemented.</w:t>
      </w:r>
    </w:p>
    <w:p>
      <w:pPr>
        <w:pStyle w:val="ListParagraph"/>
        <w:numPr>
          <w:ilvl w:val="0"/>
          <w:numId w:val="2"/>
        </w:numPr>
        <w:spacing w:after="60"/>
      </w:pPr>
      <w:r>
        <w:rPr>
          <w:sz w:val="22"/>
          <w:szCs w:val="22"/>
        </w:rPr>
        <w:t xml:space="preserve">SSO / production authentication. Local single-user for the demo.</w:t>
      </w:r>
    </w:p>
    <w:p>
      <w:pPr>
        <w:pStyle w:val="ListParagraph"/>
        <w:numPr>
          <w:ilvl w:val="0"/>
          <w:numId w:val="2"/>
        </w:numPr>
        <w:spacing w:after="60"/>
      </w:pPr>
      <w:r>
        <w:rPr>
          <w:sz w:val="22"/>
          <w:szCs w:val="22"/>
        </w:rPr>
        <w:t xml:space="preserve">Mobile UI. Desktop web only.</w:t>
      </w:r>
    </w:p>
    <w:p>
      <w:r>
        <w:br w:type="page"/>
      </w:r>
    </w:p>
    <w:p>
      <w:pPr>
        <w:pStyle w:val="Heading1"/>
        <w:spacing w:after="180" w:before="360"/>
      </w:pPr>
      <w:r>
        <w:rPr>
          <w:b/>
          <w:bCs/>
          <w:color w:val="1F4E79"/>
          <w:sz w:val="32"/>
          <w:szCs w:val="32"/>
        </w:rPr>
        <w:t xml:space="preserve">3. System Architecture</w:t>
      </w:r>
    </w:p>
    <w:p>
      <w:pPr>
        <w:pStyle w:val="Heading2"/>
        <w:spacing w:after="140" w:before="280"/>
      </w:pPr>
      <w:r>
        <w:rPr>
          <w:b/>
          <w:bCs/>
          <w:color w:val="2E75B6"/>
          <w:sz w:val="26"/>
          <w:szCs w:val="26"/>
        </w:rPr>
        <w:t xml:space="preserve">3.1 High-Level Component Map</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  +----------------------------------------------------------------+</w:t>
      </w:r>
      <w:r>
        <w:rPr>
          <w:rFonts w:ascii="Consolas" w:cs="Consolas" w:eastAsia="Consolas" w:hAnsi="Consolas"/>
          <w:sz w:val="20"/>
          <w:szCs w:val="20"/>
        </w:rPr>
        <w:br/>
        <w:t xml:space="preserve">  |                  React Frontend (Vite + Tailwind)              |</w:t>
      </w:r>
      <w:r>
        <w:rPr>
          <w:rFonts w:ascii="Consolas" w:cs="Consolas" w:eastAsia="Consolas" w:hAnsi="Consolas"/>
          <w:sz w:val="20"/>
          <w:szCs w:val="20"/>
        </w:rPr>
        <w:br/>
        <w:t xml:space="preserve">  |   Book | Client | Simulator | Compliance | Settings | Audit    |</w:t>
      </w:r>
      <w:r>
        <w:rPr>
          <w:rFonts w:ascii="Consolas" w:cs="Consolas" w:eastAsia="Consolas" w:hAnsi="Consolas"/>
          <w:sz w:val="20"/>
          <w:szCs w:val="20"/>
        </w:rPr>
        <w:br/>
        <w:t xml:space="preserve">  +--------------------------------|-------------------------------+</w:t>
      </w:r>
      <w:r>
        <w:rPr>
          <w:rFonts w:ascii="Consolas" w:cs="Consolas" w:eastAsia="Consolas" w:hAnsi="Consolas"/>
          <w:sz w:val="20"/>
          <w:szCs w:val="20"/>
        </w:rPr>
        <w:br/>
        <w:t xml:space="preserve">                                   | REST + WebSocket (JSON)</w:t>
      </w:r>
      <w:r>
        <w:rPr>
          <w:rFonts w:ascii="Consolas" w:cs="Consolas" w:eastAsia="Consolas" w:hAnsi="Consolas"/>
          <w:sz w:val="20"/>
          <w:szCs w:val="20"/>
        </w:rPr>
        <w:br/>
        <w:t xml:space="preserve">  +--------------------------------v-------------------------------+</w:t>
      </w:r>
      <w:r>
        <w:rPr>
          <w:rFonts w:ascii="Consolas" w:cs="Consolas" w:eastAsia="Consolas" w:hAnsi="Consolas"/>
          <w:sz w:val="20"/>
          <w:szCs w:val="20"/>
        </w:rPr>
        <w:br/>
        <w:t xml:space="preserve">  |                    FastAPI Backend (Python)                    |</w:t>
      </w:r>
      <w:r>
        <w:rPr>
          <w:rFonts w:ascii="Consolas" w:cs="Consolas" w:eastAsia="Consolas" w:hAnsi="Consolas"/>
          <w:sz w:val="20"/>
          <w:szCs w:val="20"/>
        </w:rPr>
        <w:br/>
        <w:t xml:space="preserve">  |  Routes -&gt;  Services  -&gt;  Inference Pipeline  -&gt;  Model Router |</w:t>
      </w:r>
      <w:r>
        <w:rPr>
          <w:rFonts w:ascii="Consolas" w:cs="Consolas" w:eastAsia="Consolas" w:hAnsi="Consolas"/>
          <w:sz w:val="20"/>
          <w:szCs w:val="20"/>
        </w:rPr>
        <w:br/>
        <w:t xml:space="preserve">  +--------|-----------|-----------------|---------------|---------+</w:t>
      </w:r>
      <w:r>
        <w:rPr>
          <w:rFonts w:ascii="Consolas" w:cs="Consolas" w:eastAsia="Consolas" w:hAnsi="Consolas"/>
          <w:sz w:val="20"/>
          <w:szCs w:val="20"/>
        </w:rPr>
        <w:br/>
        <w:t xml:space="preserve">           |           |                 |               |</w:t>
      </w:r>
      <w:r>
        <w:rPr>
          <w:rFonts w:ascii="Consolas" w:cs="Consolas" w:eastAsia="Consolas" w:hAnsi="Consolas"/>
          <w:sz w:val="20"/>
          <w:szCs w:val="20"/>
        </w:rPr>
        <w:br/>
        <w:t xml:space="preserve">           v           v                 v               v</w:t>
      </w:r>
      <w:r>
        <w:rPr>
          <w:rFonts w:ascii="Consolas" w:cs="Consolas" w:eastAsia="Consolas" w:hAnsi="Consolas"/>
          <w:sz w:val="20"/>
          <w:szCs w:val="20"/>
        </w:rPr>
        <w:br/>
        <w:t xml:space="preserve">        SQLite      Data Layer       Compliance      Provider SDKs</w:t>
      </w:r>
      <w:r>
        <w:rPr>
          <w:rFonts w:ascii="Consolas" w:cs="Consolas" w:eastAsia="Consolas" w:hAnsi="Consolas"/>
          <w:sz w:val="20"/>
          <w:szCs w:val="20"/>
        </w:rPr>
        <w:br/>
        <w:t xml:space="preserve">                    (CSVs from       Engine          (Anthropic,</w:t>
      </w:r>
      <w:r>
        <w:rPr>
          <w:rFonts w:ascii="Consolas" w:cs="Consolas" w:eastAsia="Consolas" w:hAnsi="Consolas"/>
          <w:sz w:val="20"/>
          <w:szCs w:val="20"/>
        </w:rPr>
        <w:br/>
        <w:t xml:space="preserve">                     data generator)                  Google, AWS</w:t>
      </w:r>
      <w:r>
        <w:rPr>
          <w:rFonts w:ascii="Consolas" w:cs="Consolas" w:eastAsia="Consolas" w:hAnsi="Consolas"/>
          <w:sz w:val="20"/>
          <w:szCs w:val="20"/>
        </w:rPr>
        <w:br/>
        <w:t xml:space="preserve">                                                      Bedrock)</w:t>
      </w:r>
    </w:p>
    <w:p>
      <w:pPr>
        <w:pStyle w:val="Heading2"/>
        <w:spacing w:after="140" w:before="280"/>
      </w:pPr>
      <w:r>
        <w:rPr>
          <w:b/>
          <w:bCs/>
          <w:color w:val="2E75B6"/>
          <w:sz w:val="26"/>
          <w:szCs w:val="26"/>
        </w:rPr>
        <w:t xml:space="preserve">3.2 Stack Decisions</w:t>
      </w:r>
    </w:p>
    <w:p>
      <w:pPr>
        <w:spacing w:after="120"/>
      </w:pPr>
      <w:r>
        <w:rPr>
          <w:sz w:val="22"/>
          <w:szCs w:val="22"/>
        </w:rPr>
        <w:t xml:space="preserve">The stack is chosen for hackathon velocity, not for production scale — the two have different constraints and this document is honest about that.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shd w:fill="2E75B6" w:val="clear"/>
          </w:tcPr>
          <w:p>
            <w:r>
              <w:rPr>
                <w:b/>
                <w:bCs/>
                <w:color w:val="FFFFFF"/>
                <w:sz w:val="22"/>
                <w:szCs w:val="22"/>
              </w:rPr>
              <w:t xml:space="preserve">Layer</w:t>
            </w:r>
          </w:p>
        </w:tc>
        <w:tc>
          <w:tcPr>
            <w:tcW w:type="dxa" w:w="2200"/>
            <w:shd w:fill="2E75B6" w:val="clear"/>
          </w:tcPr>
          <w:p>
            <w:r>
              <w:rPr>
                <w:b/>
                <w:bCs/>
                <w:color w:val="FFFFFF"/>
                <w:sz w:val="22"/>
                <w:szCs w:val="22"/>
              </w:rPr>
              <w:t xml:space="preserve">Choice</w:t>
            </w:r>
          </w:p>
        </w:tc>
        <w:tc>
          <w:tcPr>
            <w:tcW w:type="dxa" w:w="5000"/>
            <w:shd w:fill="2E75B6" w:val="clear"/>
          </w:tcPr>
          <w:p>
            <w:r>
              <w:rPr>
                <w:b/>
                <w:bCs/>
                <w:color w:val="FFFFFF"/>
                <w:sz w:val="22"/>
                <w:szCs w:val="22"/>
              </w:rPr>
              <w:t xml:space="preserve">Rationale</w:t>
            </w:r>
          </w:p>
        </w:tc>
      </w:tr>
      <w:tr>
        <w:tc>
          <w:tcPr>
            <w:tcW w:type="dxa" w:w="2200"/>
          </w:tcPr>
          <w:p>
            <w:r>
              <w:rPr>
                <w:b w:val="false"/>
                <w:bCs w:val="false"/>
                <w:color w:val="000000"/>
                <w:sz w:val="20"/>
                <w:szCs w:val="20"/>
              </w:rPr>
              <w:t xml:space="preserve">Backend</w:t>
            </w:r>
          </w:p>
        </w:tc>
        <w:tc>
          <w:tcPr>
            <w:tcW w:type="dxa" w:w="2200"/>
          </w:tcPr>
          <w:p>
            <w:r>
              <w:rPr>
                <w:b w:val="false"/>
                <w:bCs w:val="false"/>
                <w:color w:val="000000"/>
                <w:sz w:val="20"/>
                <w:szCs w:val="20"/>
              </w:rPr>
              <w:t xml:space="preserve">FastAPI + Python 3.11</w:t>
            </w:r>
          </w:p>
        </w:tc>
        <w:tc>
          <w:tcPr>
            <w:tcW w:type="dxa" w:w="5000"/>
          </w:tcPr>
          <w:p>
            <w:r>
              <w:rPr>
                <w:b w:val="false"/>
                <w:bCs w:val="false"/>
                <w:color w:val="000000"/>
                <w:sz w:val="20"/>
                <w:szCs w:val="20"/>
              </w:rPr>
              <w:t xml:space="preserve">Fastest path to REST + WebSocket + Pydantic contracts. Matches your existing LocatorForge stack. Async support for streaming model responses.</w:t>
            </w:r>
          </w:p>
        </w:tc>
      </w:tr>
      <w:tr>
        <w:tc>
          <w:tcPr>
            <w:tcW w:type="dxa" w:w="2200"/>
            <w:shd w:fill="F4F8FC" w:val="clear"/>
          </w:tcPr>
          <w:p>
            <w:r>
              <w:rPr>
                <w:b w:val="false"/>
                <w:bCs w:val="false"/>
                <w:color w:val="000000"/>
                <w:sz w:val="20"/>
                <w:szCs w:val="20"/>
              </w:rPr>
              <w:t xml:space="preserve">Frontend</w:t>
            </w:r>
          </w:p>
        </w:tc>
        <w:tc>
          <w:tcPr>
            <w:tcW w:type="dxa" w:w="2200"/>
            <w:shd w:fill="F4F8FC" w:val="clear"/>
          </w:tcPr>
          <w:p>
            <w:r>
              <w:rPr>
                <w:b w:val="false"/>
                <w:bCs w:val="false"/>
                <w:color w:val="000000"/>
                <w:sz w:val="20"/>
                <w:szCs w:val="20"/>
              </w:rPr>
              <w:t xml:space="preserve">React 18 + Vite + TypeScript + Tailwind</w:t>
            </w:r>
          </w:p>
        </w:tc>
        <w:tc>
          <w:tcPr>
            <w:tcW w:type="dxa" w:w="5000"/>
            <w:shd w:fill="F4F8FC" w:val="clear"/>
          </w:tcPr>
          <w:p>
            <w:r>
              <w:rPr>
                <w:b w:val="false"/>
                <w:bCs w:val="false"/>
                <w:color w:val="000000"/>
                <w:sz w:val="20"/>
                <w:szCs w:val="20"/>
              </w:rPr>
              <w:t xml:space="preserve">Fast dev loop. TS catches contract errors between frontend and backend before demo time. Tailwind produces credible-looking UI without a designer.</w:t>
            </w:r>
          </w:p>
        </w:tc>
      </w:tr>
      <w:tr>
        <w:tc>
          <w:tcPr>
            <w:tcW w:type="dxa" w:w="2200"/>
          </w:tcPr>
          <w:p>
            <w:r>
              <w:rPr>
                <w:b w:val="false"/>
                <w:bCs w:val="false"/>
                <w:color w:val="000000"/>
                <w:sz w:val="20"/>
                <w:szCs w:val="20"/>
              </w:rPr>
              <w:t xml:space="preserve">State (frontend)</w:t>
            </w:r>
          </w:p>
        </w:tc>
        <w:tc>
          <w:tcPr>
            <w:tcW w:type="dxa" w:w="2200"/>
          </w:tcPr>
          <w:p>
            <w:r>
              <w:rPr>
                <w:b w:val="false"/>
                <w:bCs w:val="false"/>
                <w:color w:val="000000"/>
                <w:sz w:val="20"/>
                <w:szCs w:val="20"/>
              </w:rPr>
              <w:t xml:space="preserve">Zustand + TanStack Query</w:t>
            </w:r>
          </w:p>
        </w:tc>
        <w:tc>
          <w:tcPr>
            <w:tcW w:type="dxa" w:w="5000"/>
          </w:tcPr>
          <w:p>
            <w:r>
              <w:rPr>
                <w:b w:val="false"/>
                <w:bCs w:val="false"/>
                <w:color w:val="000000"/>
                <w:sz w:val="20"/>
                <w:szCs w:val="20"/>
              </w:rPr>
              <w:t xml:space="preserve">Zustand for local UI state; TanStack Query handles server cache, retries, optimistic updates. Both small, well-documented.</w:t>
            </w:r>
          </w:p>
        </w:tc>
      </w:tr>
      <w:tr>
        <w:tc>
          <w:tcPr>
            <w:tcW w:type="dxa" w:w="2200"/>
            <w:shd w:fill="F4F8FC" w:val="clear"/>
          </w:tcPr>
          <w:p>
            <w:r>
              <w:rPr>
                <w:b w:val="false"/>
                <w:bCs w:val="false"/>
                <w:color w:val="000000"/>
                <w:sz w:val="20"/>
                <w:szCs w:val="20"/>
              </w:rPr>
              <w:t xml:space="preserve">Persistence</w:t>
            </w:r>
          </w:p>
        </w:tc>
        <w:tc>
          <w:tcPr>
            <w:tcW w:type="dxa" w:w="2200"/>
            <w:shd w:fill="F4F8FC" w:val="clear"/>
          </w:tcPr>
          <w:p>
            <w:r>
              <w:rPr>
                <w:b w:val="false"/>
                <w:bCs w:val="false"/>
                <w:color w:val="000000"/>
                <w:sz w:val="20"/>
                <w:szCs w:val="20"/>
              </w:rPr>
              <w:t xml:space="preserve">SQLite (via SQLAlchemy)</w:t>
            </w:r>
          </w:p>
        </w:tc>
        <w:tc>
          <w:tcPr>
            <w:tcW w:type="dxa" w:w="5000"/>
            <w:shd w:fill="F4F8FC" w:val="clear"/>
          </w:tcPr>
          <w:p>
            <w:r>
              <w:rPr>
                <w:b w:val="false"/>
                <w:bCs w:val="false"/>
                <w:color w:val="000000"/>
                <w:sz w:val="20"/>
                <w:szCs w:val="20"/>
              </w:rPr>
              <w:t xml:space="preserve">Single-file DB. Zero setup. Sufficient for 50-client demo. Migrations via Alembic.</w:t>
            </w:r>
          </w:p>
        </w:tc>
      </w:tr>
      <w:tr>
        <w:tc>
          <w:tcPr>
            <w:tcW w:type="dxa" w:w="2200"/>
          </w:tcPr>
          <w:p>
            <w:r>
              <w:rPr>
                <w:b w:val="false"/>
                <w:bCs w:val="false"/>
                <w:color w:val="000000"/>
                <w:sz w:val="20"/>
                <w:szCs w:val="20"/>
              </w:rPr>
              <w:t xml:space="preserve">Data ingest</w:t>
            </w:r>
          </w:p>
        </w:tc>
        <w:tc>
          <w:tcPr>
            <w:tcW w:type="dxa" w:w="2200"/>
          </w:tcPr>
          <w:p>
            <w:r>
              <w:rPr>
                <w:b w:val="false"/>
                <w:bCs w:val="false"/>
                <w:color w:val="000000"/>
                <w:sz w:val="20"/>
                <w:szCs w:val="20"/>
              </w:rPr>
              <w:t xml:space="preserve">CSV import from gravity_datagen.py outputs</w:t>
            </w:r>
          </w:p>
        </w:tc>
        <w:tc>
          <w:tcPr>
            <w:tcW w:type="dxa" w:w="5000"/>
          </w:tcPr>
          <w:p>
            <w:r>
              <w:rPr>
                <w:b w:val="false"/>
                <w:bCs w:val="false"/>
                <w:color w:val="000000"/>
                <w:sz w:val="20"/>
                <w:szCs w:val="20"/>
              </w:rPr>
              <w:t xml:space="preserve">Data layer is already built and tested. Ingest is a one-time job at app startup or via a CLI command.</w:t>
            </w:r>
          </w:p>
        </w:tc>
      </w:tr>
      <w:tr>
        <w:tc>
          <w:tcPr>
            <w:tcW w:type="dxa" w:w="2200"/>
            <w:shd w:fill="F4F8FC" w:val="clear"/>
          </w:tcPr>
          <w:p>
            <w:r>
              <w:rPr>
                <w:b w:val="false"/>
                <w:bCs w:val="false"/>
                <w:color w:val="000000"/>
                <w:sz w:val="20"/>
                <w:szCs w:val="20"/>
              </w:rPr>
              <w:t xml:space="preserve">Model access</w:t>
            </w:r>
          </w:p>
        </w:tc>
        <w:tc>
          <w:tcPr>
            <w:tcW w:type="dxa" w:w="2200"/>
            <w:shd w:fill="F4F8FC" w:val="clear"/>
          </w:tcPr>
          <w:p>
            <w:r>
              <w:rPr>
                <w:b w:val="false"/>
                <w:bCs w:val="false"/>
                <w:color w:val="000000"/>
                <w:sz w:val="20"/>
                <w:szCs w:val="20"/>
              </w:rPr>
              <w:t xml:space="preserve">Provider SDKs behind a router abstraction</w:t>
            </w:r>
          </w:p>
        </w:tc>
        <w:tc>
          <w:tcPr>
            <w:tcW w:type="dxa" w:w="5000"/>
            <w:shd w:fill="F4F8FC" w:val="clear"/>
          </w:tcPr>
          <w:p>
            <w:r>
              <w:rPr>
                <w:b w:val="false"/>
                <w:bCs w:val="false"/>
                <w:color w:val="000000"/>
                <w:sz w:val="20"/>
                <w:szCs w:val="20"/>
              </w:rPr>
              <w:t xml:space="preserve">anthropic, google-generativeai, boto3 for Bedrock. Router selects per task type based on Settings.</w:t>
            </w:r>
          </w:p>
        </w:tc>
      </w:tr>
      <w:tr>
        <w:tc>
          <w:tcPr>
            <w:tcW w:type="dxa" w:w="2200"/>
          </w:tcPr>
          <w:p>
            <w:r>
              <w:rPr>
                <w:b w:val="false"/>
                <w:bCs w:val="false"/>
                <w:color w:val="000000"/>
                <w:sz w:val="20"/>
                <w:szCs w:val="20"/>
              </w:rPr>
              <w:t xml:space="preserve">Encryption (API keys)</w:t>
            </w:r>
          </w:p>
        </w:tc>
        <w:tc>
          <w:tcPr>
            <w:tcW w:type="dxa" w:w="2200"/>
          </w:tcPr>
          <w:p>
            <w:r>
              <w:rPr>
                <w:b w:val="false"/>
                <w:bCs w:val="false"/>
                <w:color w:val="000000"/>
                <w:sz w:val="20"/>
                <w:szCs w:val="20"/>
              </w:rPr>
              <w:t xml:space="preserve">cryptography (Fernet) with OS-keyring master key</w:t>
            </w:r>
          </w:p>
        </w:tc>
        <w:tc>
          <w:tcPr>
            <w:tcW w:type="dxa" w:w="5000"/>
          </w:tcPr>
          <w:p>
            <w:r>
              <w:rPr>
                <w:b w:val="false"/>
                <w:bCs w:val="false"/>
                <w:color w:val="000000"/>
                <w:sz w:val="20"/>
                <w:szCs w:val="20"/>
              </w:rPr>
              <w:t xml:space="preserve">Keys never stored in plaintext at rest. Master key protected by OS keychain.</w:t>
            </w:r>
          </w:p>
        </w:tc>
      </w:tr>
      <w:tr>
        <w:tc>
          <w:tcPr>
            <w:tcW w:type="dxa" w:w="2200"/>
            <w:shd w:fill="F4F8FC" w:val="clear"/>
          </w:tcPr>
          <w:p>
            <w:r>
              <w:rPr>
                <w:b w:val="false"/>
                <w:bCs w:val="false"/>
                <w:color w:val="000000"/>
                <w:sz w:val="20"/>
                <w:szCs w:val="20"/>
              </w:rPr>
              <w:t xml:space="preserve">Audit log</w:t>
            </w:r>
          </w:p>
        </w:tc>
        <w:tc>
          <w:tcPr>
            <w:tcW w:type="dxa" w:w="2200"/>
            <w:shd w:fill="F4F8FC" w:val="clear"/>
          </w:tcPr>
          <w:p>
            <w:r>
              <w:rPr>
                <w:b w:val="false"/>
                <w:bCs w:val="false"/>
                <w:color w:val="000000"/>
                <w:sz w:val="20"/>
                <w:szCs w:val="20"/>
              </w:rPr>
              <w:t xml:space="preserve">SQLite append-only table + hash-chained rows</w:t>
            </w:r>
          </w:p>
        </w:tc>
        <w:tc>
          <w:tcPr>
            <w:tcW w:type="dxa" w:w="5000"/>
            <w:shd w:fill="F4F8FC" w:val="clear"/>
          </w:tcPr>
          <w:p>
            <w:r>
              <w:rPr>
                <w:b w:val="false"/>
                <w:bCs w:val="false"/>
                <w:color w:val="000000"/>
                <w:sz w:val="20"/>
                <w:szCs w:val="20"/>
              </w:rPr>
              <w:t xml:space="preserve">Simple immutable-ish log. Every AI-touching action written with prev-row hash.</w:t>
            </w:r>
          </w:p>
        </w:tc>
      </w:tr>
    </w:tbl>
    <w:p>
      <w:pPr>
        <w:spacing w:after="200"/>
      </w:pPr>
      <w:r>
        <w:t xml:space="preserve"/>
      </w:r>
    </w:p>
    <w:p>
      <w:pPr>
        <w:pStyle w:val="Heading2"/>
        <w:spacing w:after="140" w:before="280"/>
      </w:pPr>
      <w:r>
        <w:rPr>
          <w:b/>
          <w:bCs/>
          <w:color w:val="2E75B6"/>
          <w:sz w:val="26"/>
          <w:szCs w:val="26"/>
        </w:rPr>
        <w:t xml:space="preserve">3.3 Repository Layout</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gravity/</w:t>
      </w:r>
      <w:r>
        <w:rPr>
          <w:rFonts w:ascii="Consolas" w:cs="Consolas" w:eastAsia="Consolas" w:hAnsi="Consolas"/>
          <w:sz w:val="20"/>
          <w:szCs w:val="20"/>
        </w:rPr>
        <w:br/>
        <w:t xml:space="preserve">  backend/</w:t>
      </w:r>
      <w:r>
        <w:rPr>
          <w:rFonts w:ascii="Consolas" w:cs="Consolas" w:eastAsia="Consolas" w:hAnsi="Consolas"/>
          <w:sz w:val="20"/>
          <w:szCs w:val="20"/>
        </w:rPr>
        <w:br/>
        <w:t xml:space="preserve">    app/</w:t>
      </w:r>
      <w:r>
        <w:rPr>
          <w:rFonts w:ascii="Consolas" w:cs="Consolas" w:eastAsia="Consolas" w:hAnsi="Consolas"/>
          <w:sz w:val="20"/>
          <w:szCs w:val="20"/>
        </w:rPr>
        <w:br/>
        <w:t xml:space="preserve">      main.py              # FastAPI app factory</w:t>
      </w:r>
      <w:r>
        <w:rPr>
          <w:rFonts w:ascii="Consolas" w:cs="Consolas" w:eastAsia="Consolas" w:hAnsi="Consolas"/>
          <w:sz w:val="20"/>
          <w:szCs w:val="20"/>
        </w:rPr>
        <w:br/>
        <w:t xml:space="preserve">      config.py            # settings/env</w:t>
      </w:r>
      <w:r>
        <w:rPr>
          <w:rFonts w:ascii="Consolas" w:cs="Consolas" w:eastAsia="Consolas" w:hAnsi="Consolas"/>
          <w:sz w:val="20"/>
          <w:szCs w:val="20"/>
        </w:rPr>
        <w:br/>
        <w:t xml:space="preserve">      db/</w:t>
      </w:r>
      <w:r>
        <w:rPr>
          <w:rFonts w:ascii="Consolas" w:cs="Consolas" w:eastAsia="Consolas" w:hAnsi="Consolas"/>
          <w:sz w:val="20"/>
          <w:szCs w:val="20"/>
        </w:rPr>
        <w:br/>
        <w:t xml:space="preserve">        session.py</w:t>
      </w:r>
      <w:r>
        <w:rPr>
          <w:rFonts w:ascii="Consolas" w:cs="Consolas" w:eastAsia="Consolas" w:hAnsi="Consolas"/>
          <w:sz w:val="20"/>
          <w:szCs w:val="20"/>
        </w:rPr>
        <w:br/>
        <w:t xml:space="preserve">        models.py          # SQLAlchemy models</w:t>
      </w:r>
      <w:r>
        <w:rPr>
          <w:rFonts w:ascii="Consolas" w:cs="Consolas" w:eastAsia="Consolas" w:hAnsi="Consolas"/>
          <w:sz w:val="20"/>
          <w:szCs w:val="20"/>
        </w:rPr>
        <w:br/>
        <w:t xml:space="preserve">        migrations/        # Alembic</w:t>
      </w:r>
      <w:r>
        <w:rPr>
          <w:rFonts w:ascii="Consolas" w:cs="Consolas" w:eastAsia="Consolas" w:hAnsi="Consolas"/>
          <w:sz w:val="20"/>
          <w:szCs w:val="20"/>
        </w:rPr>
        <w:br/>
        <w:t xml:space="preserve">      api/</w:t>
      </w:r>
      <w:r>
        <w:rPr>
          <w:rFonts w:ascii="Consolas" w:cs="Consolas" w:eastAsia="Consolas" w:hAnsi="Consolas"/>
          <w:sz w:val="20"/>
          <w:szCs w:val="20"/>
        </w:rPr>
        <w:br/>
        <w:t xml:space="preserve">        clients.py         # GET /clients, /clients/{id}</w:t>
      </w:r>
      <w:r>
        <w:rPr>
          <w:rFonts w:ascii="Consolas" w:cs="Consolas" w:eastAsia="Consolas" w:hAnsi="Consolas"/>
          <w:sz w:val="20"/>
          <w:szCs w:val="20"/>
        </w:rPr>
        <w:br/>
        <w:t xml:space="preserve">        book.py            # GET /book (ranked list)</w:t>
      </w:r>
      <w:r>
        <w:rPr>
          <w:rFonts w:ascii="Consolas" w:cs="Consolas" w:eastAsia="Consolas" w:hAnsi="Consolas"/>
          <w:sz w:val="20"/>
          <w:szCs w:val="20"/>
        </w:rPr>
        <w:br/>
        <w:t xml:space="preserve">        recommendations.py # POST /recommendations/{client_id}</w:t>
      </w:r>
      <w:r>
        <w:rPr>
          <w:rFonts w:ascii="Consolas" w:cs="Consolas" w:eastAsia="Consolas" w:hAnsi="Consolas"/>
          <w:sz w:val="20"/>
          <w:szCs w:val="20"/>
        </w:rPr>
        <w:br/>
        <w:t xml:space="preserve">        compliance.py      # POST /compliance/check</w:t>
      </w:r>
      <w:r>
        <w:rPr>
          <w:rFonts w:ascii="Consolas" w:cs="Consolas" w:eastAsia="Consolas" w:hAnsi="Consolas"/>
          <w:sz w:val="20"/>
          <w:szCs w:val="20"/>
        </w:rPr>
        <w:br/>
        <w:t xml:space="preserve">        simulator.py       # POST /simulator/scenario</w:t>
      </w:r>
      <w:r>
        <w:rPr>
          <w:rFonts w:ascii="Consolas" w:cs="Consolas" w:eastAsia="Consolas" w:hAnsi="Consolas"/>
          <w:sz w:val="20"/>
          <w:szCs w:val="20"/>
        </w:rPr>
        <w:br/>
        <w:t xml:space="preserve">        settings.py        # GET/PUT /settings</w:t>
      </w:r>
      <w:r>
        <w:rPr>
          <w:rFonts w:ascii="Consolas" w:cs="Consolas" w:eastAsia="Consolas" w:hAnsi="Consolas"/>
          <w:sz w:val="20"/>
          <w:szCs w:val="20"/>
        </w:rPr>
        <w:br/>
        <w:t xml:space="preserve">        audit.py           # GET /audit</w:t>
      </w:r>
      <w:r>
        <w:rPr>
          <w:rFonts w:ascii="Consolas" w:cs="Consolas" w:eastAsia="Consolas" w:hAnsi="Consolas"/>
          <w:sz w:val="20"/>
          <w:szCs w:val="20"/>
        </w:rPr>
        <w:br/>
        <w:t xml:space="preserve">      services/</w:t>
      </w:r>
      <w:r>
        <w:rPr>
          <w:rFonts w:ascii="Consolas" w:cs="Consolas" w:eastAsia="Consolas" w:hAnsi="Consolas"/>
          <w:sz w:val="20"/>
          <w:szCs w:val="20"/>
        </w:rPr>
        <w:br/>
        <w:t xml:space="preserve">        ingest.py          # CSV -&gt; DB</w:t>
      </w:r>
      <w:r>
        <w:rPr>
          <w:rFonts w:ascii="Consolas" w:cs="Consolas" w:eastAsia="Consolas" w:hAnsi="Consolas"/>
          <w:sz w:val="20"/>
          <w:szCs w:val="20"/>
        </w:rPr>
        <w:br/>
        <w:t xml:space="preserve">        ranker.py          # opportunity ranking</w:t>
      </w:r>
      <w:r>
        <w:rPr>
          <w:rFonts w:ascii="Consolas" w:cs="Consolas" w:eastAsia="Consolas" w:hAnsi="Consolas"/>
          <w:sz w:val="20"/>
          <w:szCs w:val="20"/>
        </w:rPr>
        <w:br/>
        <w:t xml:space="preserve">        inferer.py         # held-away probability + size</w:t>
      </w:r>
      <w:r>
        <w:rPr>
          <w:rFonts w:ascii="Consolas" w:cs="Consolas" w:eastAsia="Consolas" w:hAnsi="Consolas"/>
          <w:sz w:val="20"/>
          <w:szCs w:val="20"/>
        </w:rPr>
        <w:br/>
        <w:t xml:space="preserve">        recommender.py     # play generation (calls model router)</w:t>
      </w:r>
      <w:r>
        <w:rPr>
          <w:rFonts w:ascii="Consolas" w:cs="Consolas" w:eastAsia="Consolas" w:hAnsi="Consolas"/>
          <w:sz w:val="20"/>
          <w:szCs w:val="20"/>
        </w:rPr>
        <w:br/>
        <w:t xml:space="preserve">        compliance.py      # independent AI + rule checks</w:t>
      </w:r>
      <w:r>
        <w:rPr>
          <w:rFonts w:ascii="Consolas" w:cs="Consolas" w:eastAsia="Consolas" w:hAnsi="Consolas"/>
          <w:sz w:val="20"/>
          <w:szCs w:val="20"/>
        </w:rPr>
        <w:br/>
        <w:t xml:space="preserve">        simulator.py       # scenario projections</w:t>
      </w:r>
      <w:r>
        <w:rPr>
          <w:rFonts w:ascii="Consolas" w:cs="Consolas" w:eastAsia="Consolas" w:hAnsi="Consolas"/>
          <w:sz w:val="20"/>
          <w:szCs w:val="20"/>
        </w:rPr>
        <w:br/>
        <w:t xml:space="preserve">        audit.py           # append + hash chain</w:t>
      </w:r>
      <w:r>
        <w:rPr>
          <w:rFonts w:ascii="Consolas" w:cs="Consolas" w:eastAsia="Consolas" w:hAnsi="Consolas"/>
          <w:sz w:val="20"/>
          <w:szCs w:val="20"/>
        </w:rPr>
        <w:br/>
        <w:t xml:space="preserve">      llm/</w:t>
      </w:r>
      <w:r>
        <w:rPr>
          <w:rFonts w:ascii="Consolas" w:cs="Consolas" w:eastAsia="Consolas" w:hAnsi="Consolas"/>
          <w:sz w:val="20"/>
          <w:szCs w:val="20"/>
        </w:rPr>
        <w:br/>
        <w:t xml:space="preserve">        router.py          # picks provider per task</w:t>
      </w:r>
      <w:r>
        <w:rPr>
          <w:rFonts w:ascii="Consolas" w:cs="Consolas" w:eastAsia="Consolas" w:hAnsi="Consolas"/>
          <w:sz w:val="20"/>
          <w:szCs w:val="20"/>
        </w:rPr>
        <w:br/>
        <w:t xml:space="preserve">        providers/</w:t>
      </w:r>
      <w:r>
        <w:rPr>
          <w:rFonts w:ascii="Consolas" w:cs="Consolas" w:eastAsia="Consolas" w:hAnsi="Consolas"/>
          <w:sz w:val="20"/>
          <w:szCs w:val="20"/>
        </w:rPr>
        <w:br/>
        <w:t xml:space="preserve">          base.py          # Protocol</w:t>
      </w:r>
      <w:r>
        <w:rPr>
          <w:rFonts w:ascii="Consolas" w:cs="Consolas" w:eastAsia="Consolas" w:hAnsi="Consolas"/>
          <w:sz w:val="20"/>
          <w:szCs w:val="20"/>
        </w:rPr>
        <w:br/>
        <w:t xml:space="preserve">          anthropic.py</w:t>
      </w:r>
      <w:r>
        <w:rPr>
          <w:rFonts w:ascii="Consolas" w:cs="Consolas" w:eastAsia="Consolas" w:hAnsi="Consolas"/>
          <w:sz w:val="20"/>
          <w:szCs w:val="20"/>
        </w:rPr>
        <w:br/>
        <w:t xml:space="preserve">          google.py</w:t>
      </w:r>
      <w:r>
        <w:rPr>
          <w:rFonts w:ascii="Consolas" w:cs="Consolas" w:eastAsia="Consolas" w:hAnsi="Consolas"/>
          <w:sz w:val="20"/>
          <w:szCs w:val="20"/>
        </w:rPr>
        <w:br/>
        <w:t xml:space="preserve">          bedrock.py</w:t>
      </w:r>
      <w:r>
        <w:rPr>
          <w:rFonts w:ascii="Consolas" w:cs="Consolas" w:eastAsia="Consolas" w:hAnsi="Consolas"/>
          <w:sz w:val="20"/>
          <w:szCs w:val="20"/>
        </w:rPr>
        <w:br/>
        <w:t xml:space="preserve">          mock.py          # deterministic fallback</w:t>
      </w:r>
      <w:r>
        <w:rPr>
          <w:rFonts w:ascii="Consolas" w:cs="Consolas" w:eastAsia="Consolas" w:hAnsi="Consolas"/>
          <w:sz w:val="20"/>
          <w:szCs w:val="20"/>
        </w:rPr>
        <w:br/>
        <w:t xml:space="preserve">        prompts/           # markdown prompt templates</w:t>
      </w:r>
      <w:r>
        <w:rPr>
          <w:rFonts w:ascii="Consolas" w:cs="Consolas" w:eastAsia="Consolas" w:hAnsi="Consolas"/>
          <w:sz w:val="20"/>
          <w:szCs w:val="20"/>
        </w:rPr>
        <w:br/>
        <w:t xml:space="preserve">      security/</w:t>
      </w:r>
      <w:r>
        <w:rPr>
          <w:rFonts w:ascii="Consolas" w:cs="Consolas" w:eastAsia="Consolas" w:hAnsi="Consolas"/>
          <w:sz w:val="20"/>
          <w:szCs w:val="20"/>
        </w:rPr>
        <w:br/>
        <w:t xml:space="preserve">        keyvault.py        # Fernet + keyring</w:t>
      </w:r>
      <w:r>
        <w:rPr>
          <w:rFonts w:ascii="Consolas" w:cs="Consolas" w:eastAsia="Consolas" w:hAnsi="Consolas"/>
          <w:sz w:val="20"/>
          <w:szCs w:val="20"/>
        </w:rPr>
        <w:br/>
        <w:t xml:space="preserve">    tests/                 # pytest</w:t>
      </w:r>
      <w:r>
        <w:rPr>
          <w:rFonts w:ascii="Consolas" w:cs="Consolas" w:eastAsia="Consolas" w:hAnsi="Consolas"/>
          <w:sz w:val="20"/>
          <w:szCs w:val="20"/>
        </w:rPr>
        <w:br/>
        <w:t xml:space="preserve">    pyproject.toml</w:t>
      </w:r>
      <w:r>
        <w:rPr>
          <w:rFonts w:ascii="Consolas" w:cs="Consolas" w:eastAsia="Consolas" w:hAnsi="Consolas"/>
          <w:sz w:val="20"/>
          <w:szCs w:val="20"/>
        </w:rPr>
        <w:br/>
        <w:t xml:space="preserve">  frontend/</w:t>
      </w:r>
      <w:r>
        <w:rPr>
          <w:rFonts w:ascii="Consolas" w:cs="Consolas" w:eastAsia="Consolas" w:hAnsi="Consolas"/>
          <w:sz w:val="20"/>
          <w:szCs w:val="20"/>
        </w:rPr>
        <w:br/>
        <w:t xml:space="preserve">    src/</w:t>
      </w:r>
      <w:r>
        <w:rPr>
          <w:rFonts w:ascii="Consolas" w:cs="Consolas" w:eastAsia="Consolas" w:hAnsi="Consolas"/>
          <w:sz w:val="20"/>
          <w:szCs w:val="20"/>
        </w:rPr>
        <w:br/>
        <w:t xml:space="preserve">      pages/</w:t>
      </w:r>
      <w:r>
        <w:rPr>
          <w:rFonts w:ascii="Consolas" w:cs="Consolas" w:eastAsia="Consolas" w:hAnsi="Consolas"/>
          <w:sz w:val="20"/>
          <w:szCs w:val="20"/>
        </w:rPr>
        <w:br/>
        <w:t xml:space="preserve">        BookPage.tsx</w:t>
      </w:r>
      <w:r>
        <w:rPr>
          <w:rFonts w:ascii="Consolas" w:cs="Consolas" w:eastAsia="Consolas" w:hAnsi="Consolas"/>
          <w:sz w:val="20"/>
          <w:szCs w:val="20"/>
        </w:rPr>
        <w:br/>
        <w:t xml:space="preserve">        ClientPage.tsx</w:t>
      </w:r>
      <w:r>
        <w:rPr>
          <w:rFonts w:ascii="Consolas" w:cs="Consolas" w:eastAsia="Consolas" w:hAnsi="Consolas"/>
          <w:sz w:val="20"/>
          <w:szCs w:val="20"/>
        </w:rPr>
        <w:br/>
        <w:t xml:space="preserve">        SimulatorPage.tsx</w:t>
      </w:r>
      <w:r>
        <w:rPr>
          <w:rFonts w:ascii="Consolas" w:cs="Consolas" w:eastAsia="Consolas" w:hAnsi="Consolas"/>
          <w:sz w:val="20"/>
          <w:szCs w:val="20"/>
        </w:rPr>
        <w:br/>
        <w:t xml:space="preserve">        SettingsPage.tsx</w:t>
      </w:r>
      <w:r>
        <w:rPr>
          <w:rFonts w:ascii="Consolas" w:cs="Consolas" w:eastAsia="Consolas" w:hAnsi="Consolas"/>
          <w:sz w:val="20"/>
          <w:szCs w:val="20"/>
        </w:rPr>
        <w:br/>
        <w:t xml:space="preserve">        AuditPage.tsx</w:t>
      </w:r>
      <w:r>
        <w:rPr>
          <w:rFonts w:ascii="Consolas" w:cs="Consolas" w:eastAsia="Consolas" w:hAnsi="Consolas"/>
          <w:sz w:val="20"/>
          <w:szCs w:val="20"/>
        </w:rPr>
        <w:br/>
        <w:t xml:space="preserve">      components/</w:t>
      </w:r>
      <w:r>
        <w:rPr>
          <w:rFonts w:ascii="Consolas" w:cs="Consolas" w:eastAsia="Consolas" w:hAnsi="Consolas"/>
          <w:sz w:val="20"/>
          <w:szCs w:val="20"/>
        </w:rPr>
        <w:br/>
        <w:t xml:space="preserve">        OpportunityCard.tsx</w:t>
      </w:r>
      <w:r>
        <w:rPr>
          <w:rFonts w:ascii="Consolas" w:cs="Consolas" w:eastAsia="Consolas" w:hAnsi="Consolas"/>
          <w:sz w:val="20"/>
          <w:szCs w:val="20"/>
        </w:rPr>
        <w:br/>
        <w:t xml:space="preserve">        EvidencePanel.tsx</w:t>
      </w:r>
      <w:r>
        <w:rPr>
          <w:rFonts w:ascii="Consolas" w:cs="Consolas" w:eastAsia="Consolas" w:hAnsi="Consolas"/>
          <w:sz w:val="20"/>
          <w:szCs w:val="20"/>
        </w:rPr>
        <w:br/>
        <w:t xml:space="preserve">        ConfidenceBadge.tsx</w:t>
      </w:r>
      <w:r>
        <w:rPr>
          <w:rFonts w:ascii="Consolas" w:cs="Consolas" w:eastAsia="Consolas" w:hAnsi="Consolas"/>
          <w:sz w:val="20"/>
          <w:szCs w:val="20"/>
        </w:rPr>
        <w:br/>
        <w:t xml:space="preserve">        ComplianceBadge.tsx</w:t>
      </w:r>
      <w:r>
        <w:rPr>
          <w:rFonts w:ascii="Consolas" w:cs="Consolas" w:eastAsia="Consolas" w:hAnsi="Consolas"/>
          <w:sz w:val="20"/>
          <w:szCs w:val="20"/>
        </w:rPr>
        <w:br/>
        <w:t xml:space="preserve">        PlayCard.tsx</w:t>
      </w:r>
      <w:r>
        <w:rPr>
          <w:rFonts w:ascii="Consolas" w:cs="Consolas" w:eastAsia="Consolas" w:hAnsi="Consolas"/>
          <w:sz w:val="20"/>
          <w:szCs w:val="20"/>
        </w:rPr>
        <w:br/>
        <w:t xml:space="preserve">      api/                 # generated TS types + fetchers</w:t>
      </w:r>
      <w:r>
        <w:rPr>
          <w:rFonts w:ascii="Consolas" w:cs="Consolas" w:eastAsia="Consolas" w:hAnsi="Consolas"/>
          <w:sz w:val="20"/>
          <w:szCs w:val="20"/>
        </w:rPr>
        <w:br/>
        <w:t xml:space="preserve">      store/               # zustand</w:t>
      </w:r>
      <w:r>
        <w:rPr>
          <w:rFonts w:ascii="Consolas" w:cs="Consolas" w:eastAsia="Consolas" w:hAnsi="Consolas"/>
          <w:sz w:val="20"/>
          <w:szCs w:val="20"/>
        </w:rPr>
        <w:br/>
        <w:t xml:space="preserve">    package.json</w:t>
      </w:r>
      <w:r>
        <w:rPr>
          <w:rFonts w:ascii="Consolas" w:cs="Consolas" w:eastAsia="Consolas" w:hAnsi="Consolas"/>
          <w:sz w:val="20"/>
          <w:szCs w:val="20"/>
        </w:rPr>
        <w:br/>
        <w:t xml:space="preserve">    tailwind.config.ts</w:t>
      </w:r>
      <w:r>
        <w:rPr>
          <w:rFonts w:ascii="Consolas" w:cs="Consolas" w:eastAsia="Consolas" w:hAnsi="Consolas"/>
          <w:sz w:val="20"/>
          <w:szCs w:val="20"/>
        </w:rPr>
        <w:br/>
        <w:t xml:space="preserve">  data/</w:t>
      </w:r>
      <w:r>
        <w:rPr>
          <w:rFonts w:ascii="Consolas" w:cs="Consolas" w:eastAsia="Consolas" w:hAnsi="Consolas"/>
          <w:sz w:val="20"/>
          <w:szCs w:val="20"/>
        </w:rPr>
        <w:br/>
        <w:t xml:space="preserve">    seed/                  # copied from gravity_datagen.py outputs</w:t>
      </w:r>
      <w:r>
        <w:rPr>
          <w:rFonts w:ascii="Consolas" w:cs="Consolas" w:eastAsia="Consolas" w:hAnsi="Consolas"/>
          <w:sz w:val="20"/>
          <w:szCs w:val="20"/>
        </w:rPr>
        <w:br/>
        <w:t xml:space="preserve">      clients.csv</w:t>
      </w:r>
      <w:r>
        <w:rPr>
          <w:rFonts w:ascii="Consolas" w:cs="Consolas" w:eastAsia="Consolas" w:hAnsi="Consolas"/>
          <w:sz w:val="20"/>
          <w:szCs w:val="20"/>
        </w:rPr>
        <w:br/>
        <w:t xml:space="preserve">      transactions.csv</w:t>
      </w:r>
      <w:r>
        <w:rPr>
          <w:rFonts w:ascii="Consolas" w:cs="Consolas" w:eastAsia="Consolas" w:hAnsi="Consolas"/>
          <w:sz w:val="20"/>
          <w:szCs w:val="20"/>
        </w:rPr>
        <w:br/>
        <w:t xml:space="preserve">      signals.csv</w:t>
      </w:r>
      <w:r>
        <w:rPr>
          <w:rFonts w:ascii="Consolas" w:cs="Consolas" w:eastAsia="Consolas" w:hAnsi="Consolas"/>
          <w:sz w:val="20"/>
          <w:szCs w:val="20"/>
        </w:rPr>
        <w:br/>
        <w:t xml:space="preserve">      households.csv</w:t>
      </w:r>
      <w:r>
        <w:rPr>
          <w:rFonts w:ascii="Consolas" w:cs="Consolas" w:eastAsia="Consolas" w:hAnsi="Consolas"/>
          <w:sz w:val="20"/>
          <w:szCs w:val="20"/>
        </w:rPr>
        <w:br/>
        <w:t xml:space="preserve">  README.md</w:t>
      </w:r>
      <w:r>
        <w:rPr>
          <w:rFonts w:ascii="Consolas" w:cs="Consolas" w:eastAsia="Consolas" w:hAnsi="Consolas"/>
          <w:sz w:val="20"/>
          <w:szCs w:val="20"/>
        </w:rPr>
        <w:br/>
        <w:t xml:space="preserve">  Makefile                 # make dev / make seed / make test</w:t>
      </w:r>
    </w:p>
    <w:p>
      <w:r>
        <w:br w:type="page"/>
      </w:r>
    </w:p>
    <w:p>
      <w:pPr>
        <w:pStyle w:val="Heading1"/>
        <w:spacing w:after="180" w:before="360"/>
      </w:pPr>
      <w:r>
        <w:rPr>
          <w:b/>
          <w:bCs/>
          <w:color w:val="1F4E79"/>
          <w:sz w:val="32"/>
          <w:szCs w:val="32"/>
        </w:rPr>
        <w:t xml:space="preserve">4. Signal Regime Model</w:t>
      </w:r>
    </w:p>
    <w:p>
      <w:pPr>
        <w:spacing w:after="120"/>
      </w:pPr>
      <w:r>
        <w:rPr>
          <w:sz w:val="22"/>
          <w:szCs w:val="22"/>
        </w:rPr>
        <w:t xml:space="preserve">Every client is assigned exactly one signal regime, which determines which detection channels apply. This is the honest answer to "won't the client keep those dividends and fees in a different account?" — yes, often, and here is the system's model of that reality.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600"/>
      </w:tblGrid>
      <w:tr>
        <w:trPr>
          <w:tblHeader/>
        </w:trPr>
        <w:tc>
          <w:tcPr>
            <w:tcW w:type="dxa" w:w="2000"/>
            <w:shd w:fill="2E75B6" w:val="clear"/>
          </w:tcPr>
          <w:p>
            <w:r>
              <w:rPr>
                <w:b/>
                <w:bCs/>
                <w:color w:val="FFFFFF"/>
                <w:sz w:val="22"/>
                <w:szCs w:val="22"/>
              </w:rPr>
              <w:t xml:space="preserve">Regime</w:t>
            </w:r>
          </w:p>
        </w:tc>
        <w:tc>
          <w:tcPr>
            <w:tcW w:type="dxa" w:w="3200"/>
            <w:shd w:fill="2E75B6" w:val="clear"/>
          </w:tcPr>
          <w:p>
            <w:r>
              <w:rPr>
                <w:b/>
                <w:bCs/>
                <w:color w:val="FFFFFF"/>
                <w:sz w:val="22"/>
                <w:szCs w:val="22"/>
              </w:rPr>
              <w:t xml:space="preserve">Real-world channel</w:t>
            </w:r>
          </w:p>
        </w:tc>
        <w:tc>
          <w:tcPr>
            <w:tcW w:type="dxa" w:w="1600"/>
            <w:shd w:fill="2E75B6" w:val="clear"/>
          </w:tcPr>
          <w:p>
            <w:r>
              <w:rPr>
                <w:b/>
                <w:bCs/>
                <w:color w:val="FFFFFF"/>
                <w:sz w:val="22"/>
                <w:szCs w:val="22"/>
              </w:rPr>
              <w:t xml:space="preserve">Book share</w:t>
            </w:r>
          </w:p>
        </w:tc>
        <w:tc>
          <w:tcPr>
            <w:tcW w:type="dxa" w:w="2600"/>
            <w:shd w:fill="2E75B6" w:val="clear"/>
          </w:tcPr>
          <w:p>
            <w:r>
              <w:rPr>
                <w:b/>
                <w:bCs/>
                <w:color w:val="FFFFFF"/>
                <w:sz w:val="22"/>
                <w:szCs w:val="22"/>
              </w:rPr>
              <w:t xml:space="preserve">Expected recall</w:t>
            </w:r>
          </w:p>
        </w:tc>
      </w:tr>
      <w:tr>
        <w:tc>
          <w:tcPr>
            <w:tcW w:type="dxa" w:w="2000"/>
          </w:tcPr>
          <w:p>
            <w:r>
              <w:rPr>
                <w:b w:val="false"/>
                <w:bCs w:val="false"/>
                <w:color w:val="000000"/>
                <w:sz w:val="20"/>
                <w:szCs w:val="20"/>
              </w:rPr>
              <w:t xml:space="preserve">hub</w:t>
            </w:r>
          </w:p>
        </w:tc>
        <w:tc>
          <w:tcPr>
            <w:tcW w:type="dxa" w:w="3200"/>
          </w:tcPr>
          <w:p>
            <w:r>
              <w:rPr>
                <w:b w:val="false"/>
                <w:bCs w:val="false"/>
                <w:color w:val="000000"/>
                <w:sz w:val="20"/>
                <w:szCs w:val="20"/>
              </w:rPr>
              <w:t xml:space="preserve">Citi is client's cash-management hub; external dividends/fees sweep through Citi accounts</w:t>
            </w:r>
          </w:p>
        </w:tc>
        <w:tc>
          <w:tcPr>
            <w:tcW w:type="dxa" w:w="1600"/>
          </w:tcPr>
          <w:p>
            <w:r>
              <w:rPr>
                <w:b w:val="false"/>
                <w:bCs w:val="false"/>
                <w:color w:val="000000"/>
                <w:sz w:val="20"/>
                <w:szCs w:val="20"/>
              </w:rPr>
              <w:t xml:space="preserve">~30%</w:t>
            </w:r>
          </w:p>
        </w:tc>
        <w:tc>
          <w:tcPr>
            <w:tcW w:type="dxa" w:w="2600"/>
          </w:tcPr>
          <w:p>
            <w:r>
              <w:rPr>
                <w:b w:val="false"/>
                <w:bCs w:val="false"/>
                <w:color w:val="000000"/>
                <w:sz w:val="20"/>
                <w:szCs w:val="20"/>
              </w:rPr>
              <w:t xml:space="preserve">55-85%</w:t>
            </w:r>
          </w:p>
        </w:tc>
      </w:tr>
      <w:tr>
        <w:tc>
          <w:tcPr>
            <w:tcW w:type="dxa" w:w="2000"/>
            <w:shd w:fill="F4F8FC" w:val="clear"/>
          </w:tcPr>
          <w:p>
            <w:r>
              <w:rPr>
                <w:b w:val="false"/>
                <w:bCs w:val="false"/>
                <w:color w:val="000000"/>
                <w:sz w:val="20"/>
                <w:szCs w:val="20"/>
              </w:rPr>
              <w:t xml:space="preserve">lending_disclosure</w:t>
            </w:r>
          </w:p>
        </w:tc>
        <w:tc>
          <w:tcPr>
            <w:tcW w:type="dxa" w:w="3200"/>
            <w:shd w:fill="F4F8FC" w:val="clear"/>
          </w:tcPr>
          <w:p>
            <w:r>
              <w:rPr>
                <w:b w:val="false"/>
                <w:bCs w:val="false"/>
                <w:color w:val="000000"/>
                <w:sz w:val="20"/>
                <w:szCs w:val="20"/>
              </w:rPr>
              <w:t xml:space="preserve">Client disclosed outside balance sheet during Citi credit / mortgage / SBLOC underwriting</w:t>
            </w:r>
          </w:p>
        </w:tc>
        <w:tc>
          <w:tcPr>
            <w:tcW w:type="dxa" w:w="1600"/>
            <w:shd w:fill="F4F8FC" w:val="clear"/>
          </w:tcPr>
          <w:p>
            <w:r>
              <w:rPr>
                <w:b w:val="false"/>
                <w:bCs w:val="false"/>
                <w:color w:val="000000"/>
                <w:sz w:val="20"/>
                <w:szCs w:val="20"/>
              </w:rPr>
              <w:t xml:space="preserve">~15%</w:t>
            </w:r>
          </w:p>
        </w:tc>
        <w:tc>
          <w:tcPr>
            <w:tcW w:type="dxa" w:w="2600"/>
            <w:shd w:fill="F4F8FC" w:val="clear"/>
          </w:tcPr>
          <w:p>
            <w:r>
              <w:rPr>
                <w:b w:val="false"/>
                <w:bCs w:val="false"/>
                <w:color w:val="000000"/>
                <w:sz w:val="20"/>
                <w:szCs w:val="20"/>
              </w:rPr>
              <w:t xml:space="preserve">75-100%</w:t>
            </w:r>
          </w:p>
        </w:tc>
      </w:tr>
      <w:tr>
        <w:tc>
          <w:tcPr>
            <w:tcW w:type="dxa" w:w="2000"/>
          </w:tcPr>
          <w:p>
            <w:r>
              <w:rPr>
                <w:b w:val="false"/>
                <w:bCs w:val="false"/>
                <w:color w:val="000000"/>
                <w:sz w:val="20"/>
                <w:szCs w:val="20"/>
              </w:rPr>
              <w:t xml:space="preserve">consented_aggregation</w:t>
            </w:r>
          </w:p>
        </w:tc>
        <w:tc>
          <w:tcPr>
            <w:tcW w:type="dxa" w:w="3200"/>
          </w:tcPr>
          <w:p>
            <w:r>
              <w:rPr>
                <w:b w:val="false"/>
                <w:bCs w:val="false"/>
                <w:color w:val="000000"/>
                <w:sz w:val="20"/>
                <w:szCs w:val="20"/>
              </w:rPr>
              <w:t xml:space="preserve">Client opted into an account-linking / net-worth feature</w:t>
            </w:r>
          </w:p>
        </w:tc>
        <w:tc>
          <w:tcPr>
            <w:tcW w:type="dxa" w:w="1600"/>
          </w:tcPr>
          <w:p>
            <w:r>
              <w:rPr>
                <w:b w:val="false"/>
                <w:bCs w:val="false"/>
                <w:color w:val="000000"/>
                <w:sz w:val="20"/>
                <w:szCs w:val="20"/>
              </w:rPr>
              <w:t xml:space="preserve">~15%</w:t>
            </w:r>
          </w:p>
        </w:tc>
        <w:tc>
          <w:tcPr>
            <w:tcW w:type="dxa" w:w="2600"/>
          </w:tcPr>
          <w:p>
            <w:r>
              <w:rPr>
                <w:b w:val="false"/>
                <w:bCs w:val="false"/>
                <w:color w:val="000000"/>
                <w:sz w:val="20"/>
                <w:szCs w:val="20"/>
              </w:rPr>
              <w:t xml:space="preserve">~100%</w:t>
            </w:r>
          </w:p>
        </w:tc>
      </w:tr>
      <w:tr>
        <w:tc>
          <w:tcPr>
            <w:tcW w:type="dxa" w:w="2000"/>
            <w:shd w:fill="F4F8FC" w:val="clear"/>
          </w:tcPr>
          <w:p>
            <w:r>
              <w:rPr>
                <w:b w:val="false"/>
                <w:bCs w:val="false"/>
                <w:color w:val="000000"/>
                <w:sz w:val="20"/>
                <w:szCs w:val="20"/>
              </w:rPr>
              <w:t xml:space="preserve">silo</w:t>
            </w:r>
          </w:p>
        </w:tc>
        <w:tc>
          <w:tcPr>
            <w:tcW w:type="dxa" w:w="3200"/>
            <w:shd w:fill="F4F8FC" w:val="clear"/>
          </w:tcPr>
          <w:p>
            <w:r>
              <w:rPr>
                <w:b w:val="false"/>
                <w:bCs w:val="false"/>
                <w:color w:val="000000"/>
                <w:sz w:val="20"/>
                <w:szCs w:val="20"/>
              </w:rPr>
              <w:t xml:space="preserve">Fully external banking AND investing</w:t>
            </w:r>
          </w:p>
        </w:tc>
        <w:tc>
          <w:tcPr>
            <w:tcW w:type="dxa" w:w="1600"/>
            <w:shd w:fill="F4F8FC" w:val="clear"/>
          </w:tcPr>
          <w:p>
            <w:r>
              <w:rPr>
                <w:b w:val="false"/>
                <w:bCs w:val="false"/>
                <w:color w:val="000000"/>
                <w:sz w:val="20"/>
                <w:szCs w:val="20"/>
              </w:rPr>
              <w:t xml:space="preserve">~40%</w:t>
            </w:r>
          </w:p>
        </w:tc>
        <w:tc>
          <w:tcPr>
            <w:tcW w:type="dxa" w:w="2600"/>
            <w:shd w:fill="F4F8FC" w:val="clear"/>
          </w:tcPr>
          <w:p>
            <w:r>
              <w:rPr>
                <w:b w:val="false"/>
                <w:bCs w:val="false"/>
                <w:color w:val="000000"/>
                <w:sz w:val="20"/>
                <w:szCs w:val="20"/>
              </w:rPr>
              <w:t xml:space="preserve">0% by design (correctly abstains)</w:t>
            </w:r>
          </w:p>
        </w:tc>
      </w:tr>
    </w:tbl>
    <w:p>
      <w:pPr>
        <w:spacing w:after="200"/>
      </w:pPr>
      <w:r>
        <w:t xml:space="preserve"/>
      </w:r>
    </w:p>
    <w:p>
      <w:pPr>
        <w:pStyle w:val="Heading2"/>
        <w:spacing w:after="140" w:before="280"/>
      </w:pPr>
      <w:r>
        <w:rPr>
          <w:b/>
          <w:bCs/>
          <w:color w:val="2E75B6"/>
          <w:sz w:val="26"/>
          <w:szCs w:val="26"/>
        </w:rPr>
        <w:t xml:space="preserve">4.1 Universal Weak Prior</w:t>
      </w:r>
    </w:p>
    <w:p>
      <w:pPr>
        <w:spacing w:after="120"/>
      </w:pPr>
      <w:r>
        <w:rPr>
          <w:sz w:val="22"/>
          <w:szCs w:val="22"/>
        </w:rPr>
        <w:t xml:space="preserve">Every client, regardless of regime, receives a coarse, always-on household-level wealth benchmark modeled on real industry data consortia such as IXI Network (Equifax), which measures roughly $20T of U.S. consumer assets across 95+ member institutions. Specificity is deliberately set at 0.35 — below the decision threshold — so this signal can corroborate other evidence but cannot alone trigger a surfaced opportunity. This is what allows the system to know that a silo client with an estimated $21M held away exists, while correctly declining to act on that estimate alone.</w:t>
      </w:r>
    </w:p>
    <w:p>
      <w:pPr>
        <w:pStyle w:val="Heading2"/>
        <w:spacing w:after="140" w:before="280"/>
      </w:pPr>
      <w:r>
        <w:rPr>
          <w:b/>
          <w:bCs/>
          <w:color w:val="2E75B6"/>
          <w:sz w:val="26"/>
          <w:szCs w:val="26"/>
        </w:rPr>
        <w:t xml:space="preserve">4.2 Signal Specificity Table</w:t>
      </w:r>
    </w:p>
    <w:p>
      <w:pPr>
        <w:spacing w:after="120"/>
      </w:pPr>
      <w:r>
        <w:rPr>
          <w:sz w:val="22"/>
          <w:szCs w:val="22"/>
        </w:rPr>
        <w:t xml:space="preserve">Specificity = P(client has material held-away wealth | this signal fired).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900"/>
      </w:tblGrid>
      <w:tr>
        <w:trPr>
          <w:tblHeader/>
        </w:trPr>
        <w:tc>
          <w:tcPr>
            <w:tcW w:type="dxa" w:w="4000"/>
            <w:shd w:fill="2E75B6" w:val="clear"/>
          </w:tcPr>
          <w:p>
            <w:r>
              <w:rPr>
                <w:b/>
                <w:bCs/>
                <w:color w:val="FFFFFF"/>
                <w:sz w:val="22"/>
                <w:szCs w:val="22"/>
              </w:rPr>
              <w:t xml:space="preserve">Signal type</w:t>
            </w:r>
          </w:p>
        </w:tc>
        <w:tc>
          <w:tcPr>
            <w:tcW w:type="dxa" w:w="1500"/>
            <w:shd w:fill="2E75B6" w:val="clear"/>
          </w:tcPr>
          <w:p>
            <w:r>
              <w:rPr>
                <w:b/>
                <w:bCs/>
                <w:color w:val="FFFFFF"/>
                <w:sz w:val="22"/>
                <w:szCs w:val="22"/>
              </w:rPr>
              <w:t xml:space="preserve">Specificity</w:t>
            </w:r>
          </w:p>
        </w:tc>
        <w:tc>
          <w:tcPr>
            <w:tcW w:type="dxa" w:w="3900"/>
            <w:shd w:fill="2E75B6" w:val="clear"/>
          </w:tcPr>
          <w:p>
            <w:r>
              <w:rPr>
                <w:b/>
                <w:bCs/>
                <w:color w:val="FFFFFF"/>
                <w:sz w:val="22"/>
                <w:szCs w:val="22"/>
              </w:rPr>
              <w:t xml:space="preserve">Notes</w:t>
            </w:r>
          </w:p>
        </w:tc>
      </w:tr>
      <w:tr>
        <w:tc>
          <w:tcPr>
            <w:tcW w:type="dxa" w:w="4000"/>
          </w:tcPr>
          <w:p>
            <w:r>
              <w:rPr>
                <w:b w:val="false"/>
                <w:bCs w:val="false"/>
                <w:color w:val="000000"/>
                <w:sz w:val="20"/>
                <w:szCs w:val="20"/>
              </w:rPr>
              <w:t xml:space="preserve">aggregation_linked_account</w:t>
            </w:r>
          </w:p>
        </w:tc>
        <w:tc>
          <w:tcPr>
            <w:tcW w:type="dxa" w:w="1500"/>
          </w:tcPr>
          <w:p>
            <w:r>
              <w:rPr>
                <w:b w:val="false"/>
                <w:bCs w:val="false"/>
                <w:color w:val="000000"/>
                <w:sz w:val="20"/>
                <w:szCs w:val="20"/>
              </w:rPr>
              <w:t xml:space="preserve">0.99</w:t>
            </w:r>
          </w:p>
        </w:tc>
        <w:tc>
          <w:tcPr>
            <w:tcW w:type="dxa" w:w="3900"/>
          </w:tcPr>
          <w:p>
            <w:r>
              <w:rPr>
                <w:b w:val="false"/>
                <w:bCs w:val="false"/>
                <w:color w:val="000000"/>
                <w:sz w:val="20"/>
                <w:szCs w:val="20"/>
              </w:rPr>
              <w:t xml:space="preserve">Client-consented account link — near-ground-truth</w:t>
            </w:r>
          </w:p>
        </w:tc>
      </w:tr>
      <w:tr>
        <w:tc>
          <w:tcPr>
            <w:tcW w:type="dxa" w:w="4000"/>
            <w:shd w:fill="F4F8FC" w:val="clear"/>
          </w:tcPr>
          <w:p>
            <w:r>
              <w:rPr>
                <w:b w:val="false"/>
                <w:bCs w:val="false"/>
                <w:color w:val="000000"/>
                <w:sz w:val="20"/>
                <w:szCs w:val="20"/>
              </w:rPr>
              <w:t xml:space="preserve">external_statement_uploaded</w:t>
            </w:r>
          </w:p>
        </w:tc>
        <w:tc>
          <w:tcPr>
            <w:tcW w:type="dxa" w:w="1500"/>
            <w:shd w:fill="F4F8FC" w:val="clear"/>
          </w:tcPr>
          <w:p>
            <w:r>
              <w:rPr>
                <w:b w:val="false"/>
                <w:bCs w:val="false"/>
                <w:color w:val="000000"/>
                <w:sz w:val="20"/>
                <w:szCs w:val="20"/>
              </w:rPr>
              <w:t xml:space="preserve">0.98</w:t>
            </w:r>
          </w:p>
        </w:tc>
        <w:tc>
          <w:tcPr>
            <w:tcW w:type="dxa" w:w="3900"/>
            <w:shd w:fill="F4F8FC" w:val="clear"/>
          </w:tcPr>
          <w:p>
            <w:r>
              <w:rPr>
                <w:b w:val="false"/>
                <w:bCs w:val="false"/>
                <w:color w:val="000000"/>
                <w:sz w:val="20"/>
                <w:szCs w:val="20"/>
              </w:rPr>
              <w:t xml:space="preserve">Client-provided document</w:t>
            </w:r>
          </w:p>
        </w:tc>
      </w:tr>
      <w:tr>
        <w:tc>
          <w:tcPr>
            <w:tcW w:type="dxa" w:w="4000"/>
          </w:tcPr>
          <w:p>
            <w:r>
              <w:rPr>
                <w:b w:val="false"/>
                <w:bCs w:val="false"/>
                <w:color w:val="000000"/>
                <w:sz w:val="20"/>
                <w:szCs w:val="20"/>
              </w:rPr>
              <w:t xml:space="preserve">credit_application_disclosure</w:t>
            </w:r>
          </w:p>
        </w:tc>
        <w:tc>
          <w:tcPr>
            <w:tcW w:type="dxa" w:w="1500"/>
          </w:tcPr>
          <w:p>
            <w:r>
              <w:rPr>
                <w:b w:val="false"/>
                <w:bCs w:val="false"/>
                <w:color w:val="000000"/>
                <w:sz w:val="20"/>
                <w:szCs w:val="20"/>
              </w:rPr>
              <w:t xml:space="preserve">0.97</w:t>
            </w:r>
          </w:p>
        </w:tc>
        <w:tc>
          <w:tcPr>
            <w:tcW w:type="dxa" w:w="3900"/>
          </w:tcPr>
          <w:p>
            <w:r>
              <w:rPr>
                <w:b w:val="false"/>
                <w:bCs w:val="false"/>
                <w:color w:val="000000"/>
                <w:sz w:val="20"/>
                <w:szCs w:val="20"/>
              </w:rPr>
              <w:t xml:space="preserve">Self-disclosed for underwriting — sworn</w:t>
            </w:r>
          </w:p>
        </w:tc>
      </w:tr>
      <w:tr>
        <w:tc>
          <w:tcPr>
            <w:tcW w:type="dxa" w:w="4000"/>
            <w:shd w:fill="F4F8FC" w:val="clear"/>
          </w:tcPr>
          <w:p>
            <w:r>
              <w:rPr>
                <w:b w:val="false"/>
                <w:bCs w:val="false"/>
                <w:color w:val="000000"/>
                <w:sz w:val="20"/>
                <w:szCs w:val="20"/>
              </w:rPr>
              <w:t xml:space="preserve">recurring_advisory_fee_external</w:t>
            </w:r>
          </w:p>
        </w:tc>
        <w:tc>
          <w:tcPr>
            <w:tcW w:type="dxa" w:w="1500"/>
            <w:shd w:fill="F4F8FC" w:val="clear"/>
          </w:tcPr>
          <w:p>
            <w:r>
              <w:rPr>
                <w:b w:val="false"/>
                <w:bCs w:val="false"/>
                <w:color w:val="000000"/>
                <w:sz w:val="20"/>
                <w:szCs w:val="20"/>
              </w:rPr>
              <w:t xml:space="preserve">0.95</w:t>
            </w:r>
          </w:p>
        </w:tc>
        <w:tc>
          <w:tcPr>
            <w:tcW w:type="dxa" w:w="3900"/>
            <w:shd w:fill="F4F8FC" w:val="clear"/>
          </w:tcPr>
          <w:p>
            <w:r>
              <w:rPr>
                <w:b w:val="false"/>
                <w:bCs w:val="false"/>
                <w:color w:val="000000"/>
                <w:sz w:val="20"/>
                <w:szCs w:val="20"/>
              </w:rPr>
              <w:t xml:space="preserve">hub regime only</w:t>
            </w:r>
          </w:p>
        </w:tc>
      </w:tr>
      <w:tr>
        <w:tc>
          <w:tcPr>
            <w:tcW w:type="dxa" w:w="4000"/>
          </w:tcPr>
          <w:p>
            <w:r>
              <w:rPr>
                <w:b w:val="false"/>
                <w:bCs w:val="false"/>
                <w:color w:val="000000"/>
                <w:sz w:val="20"/>
                <w:szCs w:val="20"/>
              </w:rPr>
              <w:t xml:space="preserve">dividend_from_external_custodian</w:t>
            </w:r>
          </w:p>
        </w:tc>
        <w:tc>
          <w:tcPr>
            <w:tcW w:type="dxa" w:w="1500"/>
          </w:tcPr>
          <w:p>
            <w:r>
              <w:rPr>
                <w:b w:val="false"/>
                <w:bCs w:val="false"/>
                <w:color w:val="000000"/>
                <w:sz w:val="20"/>
                <w:szCs w:val="20"/>
              </w:rPr>
              <w:t xml:space="preserve">0.90</w:t>
            </w:r>
          </w:p>
        </w:tc>
        <w:tc>
          <w:tcPr>
            <w:tcW w:type="dxa" w:w="3900"/>
          </w:tcPr>
          <w:p>
            <w:r>
              <w:rPr>
                <w:b w:val="false"/>
                <w:bCs w:val="false"/>
                <w:color w:val="000000"/>
                <w:sz w:val="20"/>
                <w:szCs w:val="20"/>
              </w:rPr>
              <w:t xml:space="preserve">hub regime; also enables size inference</w:t>
            </w:r>
          </w:p>
        </w:tc>
      </w:tr>
      <w:tr>
        <w:tc>
          <w:tcPr>
            <w:tcW w:type="dxa" w:w="4000"/>
            <w:shd w:fill="F4F8FC" w:val="clear"/>
          </w:tcPr>
          <w:p>
            <w:r>
              <w:rPr>
                <w:b w:val="false"/>
                <w:bCs w:val="false"/>
                <w:color w:val="000000"/>
                <w:sz w:val="20"/>
                <w:szCs w:val="20"/>
              </w:rPr>
              <w:t xml:space="preserve">external_1099_tax_lots</w:t>
            </w:r>
          </w:p>
        </w:tc>
        <w:tc>
          <w:tcPr>
            <w:tcW w:type="dxa" w:w="1500"/>
            <w:shd w:fill="F4F8FC" w:val="clear"/>
          </w:tcPr>
          <w:p>
            <w:r>
              <w:rPr>
                <w:b w:val="false"/>
                <w:bCs w:val="false"/>
                <w:color w:val="000000"/>
                <w:sz w:val="20"/>
                <w:szCs w:val="20"/>
              </w:rPr>
              <w:t xml:space="preserve">0.88</w:t>
            </w:r>
          </w:p>
        </w:tc>
        <w:tc>
          <w:tcPr>
            <w:tcW w:type="dxa" w:w="3900"/>
            <w:shd w:fill="F4F8FC" w:val="clear"/>
          </w:tcPr>
          <w:p>
            <w:r>
              <w:rPr>
                <w:b w:val="false"/>
                <w:bCs w:val="false"/>
                <w:color w:val="000000"/>
                <w:sz w:val="20"/>
                <w:szCs w:val="20"/>
              </w:rPr>
              <w:t xml:space="preserve">Tax documents on file</w:t>
            </w:r>
          </w:p>
        </w:tc>
      </w:tr>
      <w:tr>
        <w:tc>
          <w:tcPr>
            <w:tcW w:type="dxa" w:w="4000"/>
          </w:tcPr>
          <w:p>
            <w:r>
              <w:rPr>
                <w:b w:val="false"/>
                <w:bCs w:val="false"/>
                <w:color w:val="000000"/>
                <w:sz w:val="20"/>
                <w:szCs w:val="20"/>
              </w:rPr>
              <w:t xml:space="preserve">wire_to_brokerage</w:t>
            </w:r>
          </w:p>
        </w:tc>
        <w:tc>
          <w:tcPr>
            <w:tcW w:type="dxa" w:w="1500"/>
          </w:tcPr>
          <w:p>
            <w:r>
              <w:rPr>
                <w:b w:val="false"/>
                <w:bCs w:val="false"/>
                <w:color w:val="000000"/>
                <w:sz w:val="20"/>
                <w:szCs w:val="20"/>
              </w:rPr>
              <w:t xml:space="preserve">0.60</w:t>
            </w:r>
          </w:p>
        </w:tc>
        <w:tc>
          <w:tcPr>
            <w:tcW w:type="dxa" w:w="3900"/>
          </w:tcPr>
          <w:p>
            <w:r>
              <w:rPr>
                <w:b w:val="false"/>
                <w:bCs w:val="false"/>
                <w:color w:val="000000"/>
                <w:sz w:val="20"/>
                <w:szCs w:val="20"/>
              </w:rPr>
              <w:t xml:space="preserve">Requires prior_citi_relationship</w:t>
            </w:r>
          </w:p>
        </w:tc>
      </w:tr>
      <w:tr>
        <w:tc>
          <w:tcPr>
            <w:tcW w:type="dxa" w:w="4000"/>
            <w:shd w:fill="F4F8FC" w:val="clear"/>
          </w:tcPr>
          <w:p>
            <w:r>
              <w:rPr>
                <w:b w:val="false"/>
                <w:bCs w:val="false"/>
                <w:color w:val="000000"/>
                <w:sz w:val="20"/>
                <w:szCs w:val="20"/>
              </w:rPr>
              <w:t xml:space="preserve">acats_transfer_out</w:t>
            </w:r>
          </w:p>
        </w:tc>
        <w:tc>
          <w:tcPr>
            <w:tcW w:type="dxa" w:w="1500"/>
            <w:shd w:fill="F4F8FC" w:val="clear"/>
          </w:tcPr>
          <w:p>
            <w:r>
              <w:rPr>
                <w:b w:val="false"/>
                <w:bCs w:val="false"/>
                <w:color w:val="000000"/>
                <w:sz w:val="20"/>
                <w:szCs w:val="20"/>
              </w:rPr>
              <w:t xml:space="preserve">0.55</w:t>
            </w:r>
          </w:p>
        </w:tc>
        <w:tc>
          <w:tcPr>
            <w:tcW w:type="dxa" w:w="3900"/>
            <w:shd w:fill="F4F8FC" w:val="clear"/>
          </w:tcPr>
          <w:p>
            <w:r>
              <w:rPr>
                <w:b w:val="false"/>
                <w:bCs w:val="false"/>
                <w:color w:val="000000"/>
                <w:sz w:val="20"/>
                <w:szCs w:val="20"/>
              </w:rPr>
              <w:t xml:space="preserve">Requires prior_citi_relationship</w:t>
            </w:r>
          </w:p>
        </w:tc>
      </w:tr>
      <w:tr>
        <w:tc>
          <w:tcPr>
            <w:tcW w:type="dxa" w:w="4000"/>
          </w:tcPr>
          <w:p>
            <w:r>
              <w:rPr>
                <w:b w:val="false"/>
                <w:bCs w:val="false"/>
                <w:color w:val="000000"/>
                <w:sz w:val="20"/>
                <w:szCs w:val="20"/>
              </w:rPr>
              <w:t xml:space="preserve">ambiguous_large_outflow</w:t>
            </w:r>
          </w:p>
        </w:tc>
        <w:tc>
          <w:tcPr>
            <w:tcW w:type="dxa" w:w="1500"/>
          </w:tcPr>
          <w:p>
            <w:r>
              <w:rPr>
                <w:b w:val="false"/>
                <w:bCs w:val="false"/>
                <w:color w:val="000000"/>
                <w:sz w:val="20"/>
                <w:szCs w:val="20"/>
              </w:rPr>
              <w:t xml:space="preserve">0.30</w:t>
            </w:r>
          </w:p>
        </w:tc>
        <w:tc>
          <w:tcPr>
            <w:tcW w:type="dxa" w:w="3900"/>
          </w:tcPr>
          <w:p>
            <w:r>
              <w:rPr>
                <w:b w:val="false"/>
                <w:bCs w:val="false"/>
                <w:color w:val="000000"/>
                <w:sz w:val="20"/>
                <w:szCs w:val="20"/>
              </w:rPr>
              <w:t xml:space="preserve">House / PE / consumption — deliberately weak</w:t>
            </w:r>
          </w:p>
        </w:tc>
      </w:tr>
      <w:tr>
        <w:tc>
          <w:tcPr>
            <w:tcW w:type="dxa" w:w="4000"/>
            <w:shd w:fill="F4F8FC" w:val="clear"/>
          </w:tcPr>
          <w:p>
            <w:r>
              <w:rPr>
                <w:b w:val="false"/>
                <w:bCs w:val="false"/>
                <w:color w:val="000000"/>
                <w:sz w:val="20"/>
                <w:szCs w:val="20"/>
              </w:rPr>
              <w:t xml:space="preserve">external_wealth_benchmark</w:t>
            </w:r>
          </w:p>
        </w:tc>
        <w:tc>
          <w:tcPr>
            <w:tcW w:type="dxa" w:w="1500"/>
            <w:shd w:fill="F4F8FC" w:val="clear"/>
          </w:tcPr>
          <w:p>
            <w:r>
              <w:rPr>
                <w:b w:val="false"/>
                <w:bCs w:val="false"/>
                <w:color w:val="000000"/>
                <w:sz w:val="20"/>
                <w:szCs w:val="20"/>
              </w:rPr>
              <w:t xml:space="preserve">0.35</w:t>
            </w:r>
          </w:p>
        </w:tc>
        <w:tc>
          <w:tcPr>
            <w:tcW w:type="dxa" w:w="3900"/>
            <w:shd w:fill="F4F8FC" w:val="clear"/>
          </w:tcPr>
          <w:p>
            <w:r>
              <w:rPr>
                <w:b w:val="false"/>
                <w:bCs w:val="false"/>
                <w:color w:val="000000"/>
                <w:sz w:val="20"/>
                <w:szCs w:val="20"/>
              </w:rPr>
              <w:t xml:space="preserve">Universal; corroborator only, not a trigger</w:t>
            </w:r>
          </w:p>
        </w:tc>
      </w:tr>
    </w:tbl>
    <w:p>
      <w:pPr>
        <w:spacing w:after="200"/>
      </w:pPr>
      <w:r>
        <w:t xml:space="preserve"/>
      </w:r>
    </w:p>
    <w:p>
      <w:pPr>
        <w:pStyle w:val="Heading2"/>
        <w:spacing w:after="140" w:before="280"/>
      </w:pPr>
      <w:r>
        <w:rPr>
          <w:b/>
          <w:bCs/>
          <w:color w:val="2E75B6"/>
          <w:sz w:val="26"/>
          <w:szCs w:val="26"/>
        </w:rPr>
        <w:t xml:space="preserve">4.3 Combination Rule</w:t>
      </w:r>
    </w:p>
    <w:p>
      <w:pPr>
        <w:spacing w:after="120"/>
      </w:pPr>
      <w:r>
        <w:rPr>
          <w:sz w:val="22"/>
          <w:szCs w:val="22"/>
        </w:rPr>
        <w:t xml:space="preserve">Signals are combined via noisy-OR: P = 1 - Product(1 - specificity_i) over all signals for the client. A separate size-estimate is produced by preferring statement-tier evidence over dividend/transfer-implied sizing over the noisy benchmark as a last resort. A confidence band is emitted proportional to the weakest evidence tier used.</w:t>
      </w:r>
    </w:p>
    <w:p>
      <w:r>
        <w:br w:type="page"/>
      </w:r>
    </w:p>
    <w:p>
      <w:pPr>
        <w:pStyle w:val="Heading1"/>
        <w:spacing w:after="180" w:before="360"/>
      </w:pPr>
      <w:r>
        <w:rPr>
          <w:b/>
          <w:bCs/>
          <w:color w:val="1F4E79"/>
          <w:sz w:val="32"/>
          <w:szCs w:val="32"/>
        </w:rPr>
        <w:t xml:space="preserve">5. Opportunity Ranking</w:t>
      </w:r>
    </w:p>
    <w:p>
      <w:pPr>
        <w:pStyle w:val="Heading2"/>
        <w:spacing w:after="140" w:before="280"/>
      </w:pPr>
      <w:r>
        <w:rPr>
          <w:b/>
          <w:bCs/>
          <w:color w:val="2E75B6"/>
          <w:sz w:val="26"/>
          <w:szCs w:val="26"/>
        </w:rPr>
        <w:t xml:space="preserve">5.1 The Formula</w:t>
      </w:r>
    </w:p>
    <w:p>
      <w:pPr>
        <w:spacing w:after="120"/>
      </w:pPr>
      <w:r>
        <w:rPr>
          <w:sz w:val="22"/>
          <w:szCs w:val="22"/>
        </w:rPr>
        <w:t xml:space="preserve">Advisors do not prioritize purely by wallet size. The ranking must reflect how advisors actually think: relationship strength, capacity, life events, and engagement all matter.</w:t>
      </w:r>
    </w:p>
    <w:p>
      <w:pPr>
        <w:spacing w:after="120"/>
      </w:pPr>
      <w:r>
        <w:rPr>
          <w:sz w:val="22"/>
          <w:szCs w:val="22"/>
        </w:rPr>
        <w:t xml:space="preserve">Expected Net Flow = </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  pred_size_mid                     # dollar magnitude</w:t>
      </w:r>
      <w:r>
        <w:rPr>
          <w:rFonts w:ascii="Consolas" w:cs="Consolas" w:eastAsia="Consolas" w:hAnsi="Consolas"/>
          <w:sz w:val="20"/>
          <w:szCs w:val="20"/>
        </w:rPr>
        <w:br/>
        <w:t xml:space="preserve">  * pred_probability                # how sure we are</w:t>
      </w:r>
      <w:r>
        <w:rPr>
          <w:rFonts w:ascii="Consolas" w:cs="Consolas" w:eastAsia="Consolas" w:hAnsi="Consolas"/>
          <w:sz w:val="20"/>
          <w:szCs w:val="20"/>
        </w:rPr>
        <w:br/>
        <w:t xml:space="preserve">  * scale(relationship_strength)    # advisor's rapport with client</w:t>
      </w:r>
      <w:r>
        <w:rPr>
          <w:rFonts w:ascii="Consolas" w:cs="Consolas" w:eastAsia="Consolas" w:hAnsi="Consolas"/>
          <w:sz w:val="20"/>
          <w:szCs w:val="20"/>
        </w:rPr>
        <w:br/>
        <w:t xml:space="preserve">  * scale(client_engagement)        # client's responsiveness</w:t>
      </w:r>
      <w:r>
        <w:rPr>
          <w:rFonts w:ascii="Consolas" w:cs="Consolas" w:eastAsia="Consolas" w:hAnsi="Consolas"/>
          <w:sz w:val="20"/>
          <w:szCs w:val="20"/>
        </w:rPr>
        <w:br/>
        <w:t xml:space="preserve">  * scale(advisor_capacity)         # advisor bandwidth</w:t>
      </w:r>
      <w:r>
        <w:rPr>
          <w:rFonts w:ascii="Consolas" w:cs="Consolas" w:eastAsia="Consolas" w:hAnsi="Consolas"/>
          <w:sz w:val="20"/>
          <w:szCs w:val="20"/>
        </w:rPr>
        <w:br/>
        <w:t xml:space="preserve">  * life_event_multiplier           # inheritance / sale / retirement</w:t>
      </w:r>
      <w:r>
        <w:rPr>
          <w:rFonts w:ascii="Consolas" w:cs="Consolas" w:eastAsia="Consolas" w:hAnsi="Consolas"/>
          <w:sz w:val="20"/>
          <w:szCs w:val="20"/>
        </w:rPr>
        <w:br/>
        <w:t xml:space="preserve">  * product_fit_multiplier          # v1: 1.0 (deferred)</w:t>
      </w:r>
      <w:r>
        <w:rPr>
          <w:rFonts w:ascii="Consolas" w:cs="Consolas" w:eastAsia="Consolas" w:hAnsi="Consolas"/>
          <w:sz w:val="20"/>
          <w:szCs w:val="20"/>
        </w:rPr>
        <w:br/>
        <w:t xml:space="preserve"/>
      </w:r>
      <w:r>
        <w:rPr>
          <w:rFonts w:ascii="Consolas" w:cs="Consolas" w:eastAsia="Consolas" w:hAnsi="Consolas"/>
          <w:sz w:val="20"/>
          <w:szCs w:val="20"/>
        </w:rPr>
        <w:br/>
        <w:t xml:space="preserve">  where scale(x in [0,1]) = 0.6 + 0.8*x    # never zeros the score</w:t>
      </w:r>
    </w:p>
    <w:p>
      <w:pPr>
        <w:pStyle w:val="Heading2"/>
        <w:spacing w:after="140" w:before="280"/>
      </w:pPr>
      <w:r>
        <w:rPr>
          <w:b/>
          <w:bCs/>
          <w:color w:val="2E75B6"/>
          <w:sz w:val="26"/>
          <w:szCs w:val="26"/>
        </w:rPr>
        <w:t xml:space="preserve">5.2 Life Event Multipliers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400"/>
      </w:tblGrid>
      <w:tr>
        <w:trPr>
          <w:tblHeader/>
        </w:trPr>
        <w:tc>
          <w:tcPr>
            <w:tcW w:type="dxa" w:w="4000"/>
            <w:shd w:fill="2E75B6" w:val="clear"/>
          </w:tcPr>
          <w:p>
            <w:r>
              <w:rPr>
                <w:b/>
                <w:bCs/>
                <w:color w:val="FFFFFF"/>
                <w:sz w:val="22"/>
                <w:szCs w:val="22"/>
              </w:rPr>
              <w:t xml:space="preserve">Event</w:t>
            </w:r>
          </w:p>
        </w:tc>
        <w:tc>
          <w:tcPr>
            <w:tcW w:type="dxa" w:w="2000"/>
            <w:shd w:fill="2E75B6" w:val="clear"/>
          </w:tcPr>
          <w:p>
            <w:r>
              <w:rPr>
                <w:b/>
                <w:bCs/>
                <w:color w:val="FFFFFF"/>
                <w:sz w:val="22"/>
                <w:szCs w:val="22"/>
              </w:rPr>
              <w:t xml:space="preserve">Multiplier</w:t>
            </w:r>
          </w:p>
        </w:tc>
        <w:tc>
          <w:tcPr>
            <w:tcW w:type="dxa" w:w="3400"/>
            <w:shd w:fill="2E75B6" w:val="clear"/>
          </w:tcPr>
          <w:p>
            <w:r>
              <w:rPr>
                <w:b/>
                <w:bCs/>
                <w:color w:val="FFFFFF"/>
                <w:sz w:val="22"/>
                <w:szCs w:val="22"/>
              </w:rPr>
              <w:t xml:space="preserve">Why</w:t>
            </w:r>
          </w:p>
        </w:tc>
      </w:tr>
      <w:tr>
        <w:tc>
          <w:tcPr>
            <w:tcW w:type="dxa" w:w="4000"/>
          </w:tcPr>
          <w:p>
            <w:r>
              <w:rPr>
                <w:b w:val="false"/>
                <w:bCs w:val="false"/>
                <w:color w:val="000000"/>
                <w:sz w:val="20"/>
                <w:szCs w:val="20"/>
              </w:rPr>
              <w:t xml:space="preserve">business_sale</w:t>
            </w:r>
          </w:p>
        </w:tc>
        <w:tc>
          <w:tcPr>
            <w:tcW w:type="dxa" w:w="2000"/>
          </w:tcPr>
          <w:p>
            <w:r>
              <w:rPr>
                <w:b w:val="false"/>
                <w:bCs w:val="false"/>
                <w:color w:val="000000"/>
                <w:sz w:val="20"/>
                <w:szCs w:val="20"/>
              </w:rPr>
              <w:t xml:space="preserve">1.6</w:t>
            </w:r>
          </w:p>
        </w:tc>
        <w:tc>
          <w:tcPr>
            <w:tcW w:type="dxa" w:w="3400"/>
          </w:tcPr>
          <w:p>
            <w:r>
              <w:rPr>
                <w:b w:val="false"/>
                <w:bCs w:val="false"/>
                <w:color w:val="000000"/>
                <w:sz w:val="20"/>
                <w:szCs w:val="20"/>
              </w:rPr>
              <w:t xml:space="preserve">Sudden liquidity — highest conversion moment</w:t>
            </w:r>
          </w:p>
        </w:tc>
      </w:tr>
      <w:tr>
        <w:tc>
          <w:tcPr>
            <w:tcW w:type="dxa" w:w="4000"/>
            <w:shd w:fill="F4F8FC" w:val="clear"/>
          </w:tcPr>
          <w:p>
            <w:r>
              <w:rPr>
                <w:b w:val="false"/>
                <w:bCs w:val="false"/>
                <w:color w:val="000000"/>
                <w:sz w:val="20"/>
                <w:szCs w:val="20"/>
              </w:rPr>
              <w:t xml:space="preserve">inheritance</w:t>
            </w:r>
          </w:p>
        </w:tc>
        <w:tc>
          <w:tcPr>
            <w:tcW w:type="dxa" w:w="2000"/>
            <w:shd w:fill="F4F8FC" w:val="clear"/>
          </w:tcPr>
          <w:p>
            <w:r>
              <w:rPr>
                <w:b w:val="false"/>
                <w:bCs w:val="false"/>
                <w:color w:val="000000"/>
                <w:sz w:val="20"/>
                <w:szCs w:val="20"/>
              </w:rPr>
              <w:t xml:space="preserve">1.4</w:t>
            </w:r>
          </w:p>
        </w:tc>
        <w:tc>
          <w:tcPr>
            <w:tcW w:type="dxa" w:w="3400"/>
            <w:shd w:fill="F4F8FC" w:val="clear"/>
          </w:tcPr>
          <w:p>
            <w:r>
              <w:rPr>
                <w:b w:val="false"/>
                <w:bCs w:val="false"/>
                <w:color w:val="000000"/>
                <w:sz w:val="20"/>
                <w:szCs w:val="20"/>
              </w:rPr>
              <w:t xml:space="preserve">Beneficiary relationship at risk of walking</w:t>
            </w:r>
          </w:p>
        </w:tc>
      </w:tr>
      <w:tr>
        <w:tc>
          <w:tcPr>
            <w:tcW w:type="dxa" w:w="4000"/>
          </w:tcPr>
          <w:p>
            <w:r>
              <w:rPr>
                <w:b w:val="false"/>
                <w:bCs w:val="false"/>
                <w:color w:val="000000"/>
                <w:sz w:val="20"/>
                <w:szCs w:val="20"/>
              </w:rPr>
              <w:t xml:space="preserve">relocation_cross_border</w:t>
            </w:r>
          </w:p>
        </w:tc>
        <w:tc>
          <w:tcPr>
            <w:tcW w:type="dxa" w:w="2000"/>
          </w:tcPr>
          <w:p>
            <w:r>
              <w:rPr>
                <w:b w:val="false"/>
                <w:bCs w:val="false"/>
                <w:color w:val="000000"/>
                <w:sz w:val="20"/>
                <w:szCs w:val="20"/>
              </w:rPr>
              <w:t xml:space="preserve">1.25</w:t>
            </w:r>
          </w:p>
        </w:tc>
        <w:tc>
          <w:tcPr>
            <w:tcW w:type="dxa" w:w="3400"/>
          </w:tcPr>
          <w:p>
            <w:r>
              <w:rPr>
                <w:b w:val="false"/>
                <w:bCs w:val="false"/>
                <w:color w:val="000000"/>
                <w:sz w:val="20"/>
                <w:szCs w:val="20"/>
              </w:rPr>
              <w:t xml:space="preserve">Citi's cross-border edge is directly relevant</w:t>
            </w:r>
          </w:p>
        </w:tc>
      </w:tr>
      <w:tr>
        <w:tc>
          <w:tcPr>
            <w:tcW w:type="dxa" w:w="4000"/>
            <w:shd w:fill="F4F8FC" w:val="clear"/>
          </w:tcPr>
          <w:p>
            <w:r>
              <w:rPr>
                <w:b w:val="false"/>
                <w:bCs w:val="false"/>
                <w:color w:val="000000"/>
                <w:sz w:val="20"/>
                <w:szCs w:val="20"/>
              </w:rPr>
              <w:t xml:space="preserve">retirement</w:t>
            </w:r>
          </w:p>
        </w:tc>
        <w:tc>
          <w:tcPr>
            <w:tcW w:type="dxa" w:w="2000"/>
            <w:shd w:fill="F4F8FC" w:val="clear"/>
          </w:tcPr>
          <w:p>
            <w:r>
              <w:rPr>
                <w:b w:val="false"/>
                <w:bCs w:val="false"/>
                <w:color w:val="000000"/>
                <w:sz w:val="20"/>
                <w:szCs w:val="20"/>
              </w:rPr>
              <w:t xml:space="preserve">1.2</w:t>
            </w:r>
          </w:p>
        </w:tc>
        <w:tc>
          <w:tcPr>
            <w:tcW w:type="dxa" w:w="3400"/>
            <w:shd w:fill="F4F8FC" w:val="clear"/>
          </w:tcPr>
          <w:p>
            <w:r>
              <w:rPr>
                <w:b w:val="false"/>
                <w:bCs w:val="false"/>
                <w:color w:val="000000"/>
                <w:sz w:val="20"/>
                <w:szCs w:val="20"/>
              </w:rPr>
              <w:t xml:space="preserve">Rollover / consolidation naturally on the table</w:t>
            </w:r>
          </w:p>
        </w:tc>
      </w:tr>
      <w:tr>
        <w:tc>
          <w:tcPr>
            <w:tcW w:type="dxa" w:w="4000"/>
          </w:tcPr>
          <w:p>
            <w:r>
              <w:rPr>
                <w:b w:val="false"/>
                <w:bCs w:val="false"/>
                <w:color w:val="000000"/>
                <w:sz w:val="20"/>
                <w:szCs w:val="20"/>
              </w:rPr>
              <w:t xml:space="preserve">none</w:t>
            </w:r>
          </w:p>
        </w:tc>
        <w:tc>
          <w:tcPr>
            <w:tcW w:type="dxa" w:w="2000"/>
          </w:tcPr>
          <w:p>
            <w:r>
              <w:rPr>
                <w:b w:val="false"/>
                <w:bCs w:val="false"/>
                <w:color w:val="000000"/>
                <w:sz w:val="20"/>
                <w:szCs w:val="20"/>
              </w:rPr>
              <w:t xml:space="preserve">1.0</w:t>
            </w:r>
          </w:p>
        </w:tc>
        <w:tc>
          <w:tcPr>
            <w:tcW w:type="dxa" w:w="3400"/>
          </w:tcPr>
          <w:p>
            <w:r>
              <w:rPr>
                <w:b w:val="false"/>
                <w:bCs w:val="false"/>
                <w:color w:val="000000"/>
                <w:sz w:val="20"/>
                <w:szCs w:val="20"/>
              </w:rPr>
              <w:t xml:space="preserve">Baseline</w:t>
            </w:r>
          </w:p>
        </w:tc>
      </w:tr>
    </w:tbl>
    <w:p>
      <w:pPr>
        <w:spacing w:after="200"/>
      </w:pPr>
      <w:r>
        <w:t xml:space="preserve"/>
      </w:r>
    </w:p>
    <w:p>
      <w:pPr>
        <w:pStyle w:val="Heading2"/>
        <w:spacing w:after="140" w:before="280"/>
      </w:pPr>
      <w:r>
        <w:rPr>
          <w:b/>
          <w:bCs/>
          <w:color w:val="2E75B6"/>
          <w:sz w:val="26"/>
          <w:szCs w:val="26"/>
        </w:rPr>
        <w:t xml:space="preserve">5.3 The Two-List Rule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Critical UX invariant: </w:t>
      </w:r>
      <w:r>
        <w:rPr>
          <w:sz w:val="22"/>
          <w:szCs w:val="22"/>
        </w:rPr>
        <w:t xml:space="preserve">Surfaced opportunities and abstained clients MUST NOT be mixed in one ranked list. The advisor sees an Actionable list (surfaced only, ranked by expected net flow) and, separately, a Watchlist (abstained, ranked by estimated size). A high-value silo client shows up on the Watchlist as a candidate for the aggregation-invite flow, never as an action item.</w:t>
      </w:r>
    </w:p>
    <w:p>
      <w:r>
        <w:br w:type="page"/>
      </w:r>
    </w:p>
    <w:p>
      <w:pPr>
        <w:pStyle w:val="Heading1"/>
        <w:spacing w:after="180" w:before="360"/>
      </w:pPr>
      <w:r>
        <w:rPr>
          <w:b/>
          <w:bCs/>
          <w:color w:val="1F4E79"/>
          <w:sz w:val="32"/>
          <w:szCs w:val="32"/>
        </w:rPr>
        <w:t xml:space="preserve">6. Multi-Model Architecture</w:t>
      </w:r>
    </w:p>
    <w:p>
      <w:pPr>
        <w:pStyle w:val="Heading2"/>
        <w:spacing w:after="140" w:before="280"/>
      </w:pPr>
      <w:r>
        <w:rPr>
          <w:b/>
          <w:bCs/>
          <w:color w:val="2E75B6"/>
          <w:sz w:val="26"/>
          <w:szCs w:val="26"/>
        </w:rPr>
        <w:t xml:space="preserve">6.1 The Router</w:t>
      </w:r>
    </w:p>
    <w:p>
      <w:pPr>
        <w:spacing w:after="120"/>
      </w:pPr>
      <w:r>
        <w:rPr>
          <w:sz w:val="22"/>
          <w:szCs w:val="22"/>
        </w:rPr>
        <w:t xml:space="preserve">Gravity routes each task to the model best suited by cost, latency, and quality — not by vendor preference. The router is configured in Settings and can be overridden per task type.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rPr>
          <w:tblHeader/>
        </w:trPr>
        <w:tc>
          <w:tcPr>
            <w:tcW w:type="dxa" w:w="3000"/>
            <w:shd w:fill="2E75B6" w:val="clear"/>
          </w:tcPr>
          <w:p>
            <w:r>
              <w:rPr>
                <w:b/>
                <w:bCs/>
                <w:color w:val="FFFFFF"/>
                <w:sz w:val="22"/>
                <w:szCs w:val="22"/>
              </w:rPr>
              <w:t xml:space="preserve">Task</w:t>
            </w:r>
          </w:p>
        </w:tc>
        <w:tc>
          <w:tcPr>
            <w:tcW w:type="dxa" w:w="3000"/>
            <w:shd w:fill="2E75B6" w:val="clear"/>
          </w:tcPr>
          <w:p>
            <w:r>
              <w:rPr>
                <w:b/>
                <w:bCs/>
                <w:color w:val="FFFFFF"/>
                <w:sz w:val="22"/>
                <w:szCs w:val="22"/>
              </w:rPr>
              <w:t xml:space="preserve">Default provider</w:t>
            </w:r>
          </w:p>
        </w:tc>
        <w:tc>
          <w:tcPr>
            <w:tcW w:type="dxa" w:w="3400"/>
            <w:shd w:fill="2E75B6" w:val="clear"/>
          </w:tcPr>
          <w:p>
            <w:r>
              <w:rPr>
                <w:b/>
                <w:bCs/>
                <w:color w:val="FFFFFF"/>
                <w:sz w:val="22"/>
                <w:szCs w:val="22"/>
              </w:rPr>
              <w:t xml:space="preserve">Rationale</w:t>
            </w:r>
          </w:p>
        </w:tc>
      </w:tr>
      <w:tr>
        <w:tc>
          <w:tcPr>
            <w:tcW w:type="dxa" w:w="3000"/>
          </w:tcPr>
          <w:p>
            <w:r>
              <w:rPr>
                <w:b w:val="false"/>
                <w:bCs w:val="false"/>
                <w:color w:val="000000"/>
                <w:sz w:val="20"/>
                <w:szCs w:val="20"/>
              </w:rPr>
              <w:t xml:space="preserve">Held-away narrative generation</w:t>
            </w:r>
          </w:p>
        </w:tc>
        <w:tc>
          <w:tcPr>
            <w:tcW w:type="dxa" w:w="3000"/>
          </w:tcPr>
          <w:p>
            <w:r>
              <w:rPr>
                <w:b w:val="false"/>
                <w:bCs w:val="false"/>
                <w:color w:val="000000"/>
                <w:sz w:val="20"/>
                <w:szCs w:val="20"/>
              </w:rPr>
              <w:t xml:space="preserve">Anthropic Claude</w:t>
            </w:r>
          </w:p>
        </w:tc>
        <w:tc>
          <w:tcPr>
            <w:tcW w:type="dxa" w:w="3400"/>
          </w:tcPr>
          <w:p>
            <w:r>
              <w:rPr>
                <w:b w:val="false"/>
                <w:bCs w:val="false"/>
                <w:color w:val="000000"/>
                <w:sz w:val="20"/>
                <w:szCs w:val="20"/>
              </w:rPr>
              <w:t xml:space="preserve">Complex reasoning; grounding in evidence</w:t>
            </w:r>
          </w:p>
        </w:tc>
      </w:tr>
      <w:tr>
        <w:tc>
          <w:tcPr>
            <w:tcW w:type="dxa" w:w="3000"/>
            <w:shd w:fill="F4F8FC" w:val="clear"/>
          </w:tcPr>
          <w:p>
            <w:r>
              <w:rPr>
                <w:b w:val="false"/>
                <w:bCs w:val="false"/>
                <w:color w:val="000000"/>
                <w:sz w:val="20"/>
                <w:szCs w:val="20"/>
              </w:rPr>
              <w:t xml:space="preserve">Consolidation play drafting</w:t>
            </w:r>
          </w:p>
        </w:tc>
        <w:tc>
          <w:tcPr>
            <w:tcW w:type="dxa" w:w="3000"/>
            <w:shd w:fill="F4F8FC" w:val="clear"/>
          </w:tcPr>
          <w:p>
            <w:r>
              <w:rPr>
                <w:b w:val="false"/>
                <w:bCs w:val="false"/>
                <w:color w:val="000000"/>
                <w:sz w:val="20"/>
                <w:szCs w:val="20"/>
              </w:rPr>
              <w:t xml:space="preserve">Anthropic Claude</w:t>
            </w:r>
          </w:p>
        </w:tc>
        <w:tc>
          <w:tcPr>
            <w:tcW w:type="dxa" w:w="3400"/>
            <w:shd w:fill="F4F8FC" w:val="clear"/>
          </w:tcPr>
          <w:p>
            <w:r>
              <w:rPr>
                <w:b w:val="false"/>
                <w:bCs w:val="false"/>
                <w:color w:val="000000"/>
                <w:sz w:val="20"/>
                <w:szCs w:val="20"/>
              </w:rPr>
              <w:t xml:space="preserve">Long-form structured writing with citations</w:t>
            </w:r>
          </w:p>
        </w:tc>
      </w:tr>
      <w:tr>
        <w:tc>
          <w:tcPr>
            <w:tcW w:type="dxa" w:w="3000"/>
          </w:tcPr>
          <w:p>
            <w:r>
              <w:rPr>
                <w:b w:val="false"/>
                <w:bCs w:val="false"/>
                <w:color w:val="000000"/>
                <w:sz w:val="20"/>
                <w:szCs w:val="20"/>
              </w:rPr>
              <w:t xml:space="preserve">Suitability / grounding check (independent verifier)</w:t>
            </w:r>
          </w:p>
        </w:tc>
        <w:tc>
          <w:tcPr>
            <w:tcW w:type="dxa" w:w="3000"/>
          </w:tcPr>
          <w:p>
            <w:r>
              <w:rPr>
                <w:b w:val="false"/>
                <w:bCs w:val="false"/>
                <w:color w:val="000000"/>
                <w:sz w:val="20"/>
                <w:szCs w:val="20"/>
              </w:rPr>
              <w:t xml:space="preserve">Google Gemini (fallback Claude)</w:t>
            </w:r>
          </w:p>
        </w:tc>
        <w:tc>
          <w:tcPr>
            <w:tcW w:type="dxa" w:w="3400"/>
          </w:tcPr>
          <w:p>
            <w:r>
              <w:rPr>
                <w:b w:val="false"/>
                <w:bCs w:val="false"/>
                <w:color w:val="000000"/>
                <w:sz w:val="20"/>
                <w:szCs w:val="20"/>
              </w:rPr>
              <w:t xml:space="preserve">Must NOT be the same model that wrote the play — eval discipline</w:t>
            </w:r>
          </w:p>
        </w:tc>
      </w:tr>
      <w:tr>
        <w:tc>
          <w:tcPr>
            <w:tcW w:type="dxa" w:w="3000"/>
            <w:shd w:fill="F4F8FC" w:val="clear"/>
          </w:tcPr>
          <w:p>
            <w:r>
              <w:rPr>
                <w:b w:val="false"/>
                <w:bCs w:val="false"/>
                <w:color w:val="000000"/>
                <w:sz w:val="20"/>
                <w:szCs w:val="20"/>
              </w:rPr>
              <w:t xml:space="preserve">Bulk transaction classification (post-MVP)</w:t>
            </w:r>
          </w:p>
        </w:tc>
        <w:tc>
          <w:tcPr>
            <w:tcW w:type="dxa" w:w="3000"/>
            <w:shd w:fill="F4F8FC" w:val="clear"/>
          </w:tcPr>
          <w:p>
            <w:r>
              <w:rPr>
                <w:b w:val="false"/>
                <w:bCs w:val="false"/>
                <w:color w:val="000000"/>
                <w:sz w:val="20"/>
                <w:szCs w:val="20"/>
              </w:rPr>
              <w:t xml:space="preserve">Amazon Bedrock (Nova)</w:t>
            </w:r>
          </w:p>
        </w:tc>
        <w:tc>
          <w:tcPr>
            <w:tcW w:type="dxa" w:w="3400"/>
            <w:shd w:fill="F4F8FC" w:val="clear"/>
          </w:tcPr>
          <w:p>
            <w:r>
              <w:rPr>
                <w:b w:val="false"/>
                <w:bCs w:val="false"/>
                <w:color w:val="000000"/>
                <w:sz w:val="20"/>
                <w:szCs w:val="20"/>
              </w:rPr>
              <w:t xml:space="preserve">Cost per million tokens dominates at book scale</w:t>
            </w:r>
          </w:p>
        </w:tc>
      </w:tr>
      <w:tr>
        <w:tc>
          <w:tcPr>
            <w:tcW w:type="dxa" w:w="3000"/>
          </w:tcPr>
          <w:p>
            <w:r>
              <w:rPr>
                <w:b w:val="false"/>
                <w:bCs w:val="false"/>
                <w:color w:val="000000"/>
                <w:sz w:val="20"/>
                <w:szCs w:val="20"/>
              </w:rPr>
              <w:t xml:space="preserve">Document / statement parsing (long-context)</w:t>
            </w:r>
          </w:p>
        </w:tc>
        <w:tc>
          <w:tcPr>
            <w:tcW w:type="dxa" w:w="3000"/>
          </w:tcPr>
          <w:p>
            <w:r>
              <w:rPr>
                <w:b w:val="false"/>
                <w:bCs w:val="false"/>
                <w:color w:val="000000"/>
                <w:sz w:val="20"/>
                <w:szCs w:val="20"/>
              </w:rPr>
              <w:t xml:space="preserve">Google Gemini</w:t>
            </w:r>
          </w:p>
        </w:tc>
        <w:tc>
          <w:tcPr>
            <w:tcW w:type="dxa" w:w="3400"/>
          </w:tcPr>
          <w:p>
            <w:r>
              <w:rPr>
                <w:b w:val="false"/>
                <w:bCs w:val="false"/>
                <w:color w:val="000000"/>
                <w:sz w:val="20"/>
                <w:szCs w:val="20"/>
              </w:rPr>
              <w:t xml:space="preserve">Long context window; strong multimodal</w:t>
            </w:r>
          </w:p>
        </w:tc>
      </w:tr>
      <w:tr>
        <w:tc>
          <w:tcPr>
            <w:tcW w:type="dxa" w:w="3000"/>
            <w:shd w:fill="F4F8FC" w:val="clear"/>
          </w:tcPr>
          <w:p>
            <w:r>
              <w:rPr>
                <w:b w:val="false"/>
                <w:bCs w:val="false"/>
                <w:color w:val="000000"/>
                <w:sz w:val="20"/>
                <w:szCs w:val="20"/>
              </w:rPr>
              <w:t xml:space="preserve">Opportunity Simulator</w:t>
            </w:r>
          </w:p>
        </w:tc>
        <w:tc>
          <w:tcPr>
            <w:tcW w:type="dxa" w:w="3000"/>
            <w:shd w:fill="F4F8FC" w:val="clear"/>
          </w:tcPr>
          <w:p>
            <w:r>
              <w:rPr>
                <w:b w:val="false"/>
                <w:bCs w:val="false"/>
                <w:color w:val="000000"/>
                <w:sz w:val="20"/>
                <w:szCs w:val="20"/>
              </w:rPr>
              <w:t xml:space="preserve">Anthropic Claude</w:t>
            </w:r>
          </w:p>
        </w:tc>
        <w:tc>
          <w:tcPr>
            <w:tcW w:type="dxa" w:w="3400"/>
            <w:shd w:fill="F4F8FC" w:val="clear"/>
          </w:tcPr>
          <w:p>
            <w:r>
              <w:rPr>
                <w:b w:val="false"/>
                <w:bCs w:val="false"/>
                <w:color w:val="000000"/>
                <w:sz w:val="20"/>
                <w:szCs w:val="20"/>
              </w:rPr>
              <w:t xml:space="preserve">Structured scenario reasoning</w:t>
            </w:r>
          </w:p>
        </w:tc>
      </w:tr>
    </w:tbl>
    <w:p>
      <w:pPr>
        <w:spacing w:after="200"/>
      </w:pPr>
      <w:r>
        <w:t xml:space="preserve"/>
      </w:r>
    </w:p>
    <w:p>
      <w:pPr>
        <w:pStyle w:val="Heading2"/>
        <w:spacing w:after="140" w:before="280"/>
      </w:pPr>
      <w:r>
        <w:rPr>
          <w:b/>
          <w:bCs/>
          <w:color w:val="2E75B6"/>
          <w:sz w:val="26"/>
          <w:szCs w:val="26"/>
        </w:rPr>
        <w:t xml:space="preserve">6.2 The Independent-Verifier Principle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Architectural rule: </w:t>
      </w:r>
      <w:r>
        <w:rPr>
          <w:sz w:val="22"/>
          <w:szCs w:val="22"/>
        </w:rPr>
        <w:t xml:space="preserve">The model that judges compliance MUST NOT be the model that wrote the play. This catches failure modes a self-check misses. When only one provider is configured, the verifier uses a separate system prompt and an explicit chain-of-verification protocol as a degraded but still meaningful check.</w:t>
      </w:r>
    </w:p>
    <w:p>
      <w:pPr>
        <w:pStyle w:val="Heading2"/>
        <w:spacing w:after="140" w:before="280"/>
      </w:pPr>
      <w:r>
        <w:rPr>
          <w:b/>
          <w:bCs/>
          <w:color w:val="2E75B6"/>
          <w:sz w:val="26"/>
          <w:szCs w:val="26"/>
        </w:rPr>
        <w:t xml:space="preserve">6.3 Provider Interface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class LLMProvider(Protocol):</w:t>
      </w:r>
      <w:r>
        <w:rPr>
          <w:rFonts w:ascii="Consolas" w:cs="Consolas" w:eastAsia="Consolas" w:hAnsi="Consolas"/>
          <w:sz w:val="20"/>
          <w:szCs w:val="20"/>
        </w:rPr>
        <w:br/>
        <w:t xml:space="preserve">    async def complete(</w:t>
      </w:r>
      <w:r>
        <w:rPr>
          <w:rFonts w:ascii="Consolas" w:cs="Consolas" w:eastAsia="Consolas" w:hAnsi="Consolas"/>
          <w:sz w:val="20"/>
          <w:szCs w:val="20"/>
        </w:rPr>
        <w:br/>
        <w:t xml:space="preserve">        self,</w:t>
      </w:r>
      <w:r>
        <w:rPr>
          <w:rFonts w:ascii="Consolas" w:cs="Consolas" w:eastAsia="Consolas" w:hAnsi="Consolas"/>
          <w:sz w:val="20"/>
          <w:szCs w:val="20"/>
        </w:rPr>
        <w:br/>
        <w:t xml:space="preserve">        system: str,</w:t>
      </w:r>
      <w:r>
        <w:rPr>
          <w:rFonts w:ascii="Consolas" w:cs="Consolas" w:eastAsia="Consolas" w:hAnsi="Consolas"/>
          <w:sz w:val="20"/>
          <w:szCs w:val="20"/>
        </w:rPr>
        <w:br/>
        <w:t xml:space="preserve">        messages: list[Message],</w:t>
      </w:r>
      <w:r>
        <w:rPr>
          <w:rFonts w:ascii="Consolas" w:cs="Consolas" w:eastAsia="Consolas" w:hAnsi="Consolas"/>
          <w:sz w:val="20"/>
          <w:szCs w:val="20"/>
        </w:rPr>
        <w:br/>
        <w:t xml:space="preserve">        *,</w:t>
      </w:r>
      <w:r>
        <w:rPr>
          <w:rFonts w:ascii="Consolas" w:cs="Consolas" w:eastAsia="Consolas" w:hAnsi="Consolas"/>
          <w:sz w:val="20"/>
          <w:szCs w:val="20"/>
        </w:rPr>
        <w:br/>
        <w:t xml:space="preserve">        max_tokens: int = 1024,</w:t>
      </w:r>
      <w:r>
        <w:rPr>
          <w:rFonts w:ascii="Consolas" w:cs="Consolas" w:eastAsia="Consolas" w:hAnsi="Consolas"/>
          <w:sz w:val="20"/>
          <w:szCs w:val="20"/>
        </w:rPr>
        <w:br/>
        <w:t xml:space="preserve">        temperature: float = 0.2,</w:t>
      </w:r>
      <w:r>
        <w:rPr>
          <w:rFonts w:ascii="Consolas" w:cs="Consolas" w:eastAsia="Consolas" w:hAnsi="Consolas"/>
          <w:sz w:val="20"/>
          <w:szCs w:val="20"/>
        </w:rPr>
        <w:br/>
        <w:t xml:space="preserve">        response_schema: JsonSchema | None = None,</w:t>
      </w:r>
      <w:r>
        <w:rPr>
          <w:rFonts w:ascii="Consolas" w:cs="Consolas" w:eastAsia="Consolas" w:hAnsi="Consolas"/>
          <w:sz w:val="20"/>
          <w:szCs w:val="20"/>
        </w:rPr>
        <w:br/>
        <w:t xml:space="preserve">    ) -&gt; LLMResponse: ...</w:t>
      </w:r>
      <w:r>
        <w:rPr>
          <w:rFonts w:ascii="Consolas" w:cs="Consolas" w:eastAsia="Consolas" w:hAnsi="Consolas"/>
          <w:sz w:val="20"/>
          <w:szCs w:val="20"/>
        </w:rPr>
        <w:br/>
        <w:t xml:space="preserve"/>
      </w:r>
      <w:r>
        <w:rPr>
          <w:rFonts w:ascii="Consolas" w:cs="Consolas" w:eastAsia="Consolas" w:hAnsi="Consolas"/>
          <w:sz w:val="20"/>
          <w:szCs w:val="20"/>
        </w:rPr>
        <w:br/>
        <w:t xml:space="preserve">    def health_check(self) -&gt; HealthResult: ...</w:t>
      </w:r>
      <w:r>
        <w:rPr>
          <w:rFonts w:ascii="Consolas" w:cs="Consolas" w:eastAsia="Consolas" w:hAnsi="Consolas"/>
          <w:sz w:val="20"/>
          <w:szCs w:val="20"/>
        </w:rPr>
        <w:br/>
        <w:t xml:space="preserve">    @property</w:t>
      </w:r>
      <w:r>
        <w:rPr>
          <w:rFonts w:ascii="Consolas" w:cs="Consolas" w:eastAsia="Consolas" w:hAnsi="Consolas"/>
          <w:sz w:val="20"/>
          <w:szCs w:val="20"/>
        </w:rPr>
        <w:br/>
        <w:t xml:space="preserve">    def name(self) -&gt; str: ...</w:t>
      </w:r>
      <w:r>
        <w:rPr>
          <w:rFonts w:ascii="Consolas" w:cs="Consolas" w:eastAsia="Consolas" w:hAnsi="Consolas"/>
          <w:sz w:val="20"/>
          <w:szCs w:val="20"/>
        </w:rPr>
        <w:br/>
        <w:t xml:space="preserve">    @property</w:t>
      </w:r>
      <w:r>
        <w:rPr>
          <w:rFonts w:ascii="Consolas" w:cs="Consolas" w:eastAsia="Consolas" w:hAnsi="Consolas"/>
          <w:sz w:val="20"/>
          <w:szCs w:val="20"/>
        </w:rPr>
        <w:br/>
        <w:t xml:space="preserve">    def default_model(self) -&gt; str: ...</w:t>
      </w:r>
    </w:p>
    <w:p>
      <w:pPr>
        <w:pStyle w:val="Heading2"/>
        <w:spacing w:after="140" w:before="280"/>
      </w:pPr>
      <w:r>
        <w:rPr>
          <w:b/>
          <w:bCs/>
          <w:color w:val="2E75B6"/>
          <w:sz w:val="26"/>
          <w:szCs w:val="26"/>
        </w:rPr>
        <w:t xml:space="preserve">6.4 The Mock Provider</w:t>
      </w:r>
    </w:p>
    <w:p>
      <w:pPr>
        <w:spacing w:after="120"/>
      </w:pPr>
      <w:r>
        <w:rPr>
          <w:sz w:val="22"/>
          <w:szCs w:val="22"/>
        </w:rPr>
        <w:t xml:space="preserve">A MockProvider ships in the codebase and returns deterministic, canned responses keyed by prompt hash. Purpose: (a) local development with no API keys; (b) unit tests with fixed expectations; (c) live demo insurance if hackathon Wi-Fi fails or provided keys are rate-limited. The Settings page includes a "Use mock provider" toggle.</w:t>
      </w:r>
    </w:p>
    <w:p>
      <w:r>
        <w:br w:type="page"/>
      </w:r>
    </w:p>
    <w:p>
      <w:pPr>
        <w:pStyle w:val="Heading1"/>
        <w:spacing w:after="180" w:before="360"/>
      </w:pPr>
      <w:r>
        <w:rPr>
          <w:b/>
          <w:bCs/>
          <w:color w:val="1F4E79"/>
          <w:sz w:val="32"/>
          <w:szCs w:val="32"/>
        </w:rPr>
        <w:t xml:space="preserve">7. Compliance and Governance</w:t>
      </w:r>
    </w:p>
    <w:p>
      <w:pPr>
        <w:pStyle w:val="Heading2"/>
        <w:spacing w:after="140" w:before="280"/>
      </w:pPr>
      <w:r>
        <w:rPr>
          <w:b/>
          <w:bCs/>
          <w:color w:val="2E75B6"/>
          <w:sz w:val="26"/>
          <w:szCs w:val="26"/>
        </w:rPr>
        <w:t xml:space="preserve">7.1 The Gauntlet</w:t>
      </w:r>
    </w:p>
    <w:p>
      <w:pPr>
        <w:spacing w:after="120"/>
      </w:pPr>
      <w:r>
        <w:rPr>
          <w:sz w:val="22"/>
          <w:szCs w:val="22"/>
        </w:rPr>
        <w:t xml:space="preserve">Every generated recommendation passes through an ordered pipeline before the advisor sees it. Any stage can block the recommendation; the reason is captured.</w:t>
      </w:r>
    </w:p>
    <w:p>
      <w:pPr>
        <w:pStyle w:val="ListParagraph"/>
        <w:numPr>
          <w:ilvl w:val="0"/>
          <w:numId w:val="3"/>
        </w:numPr>
        <w:spacing w:after="60"/>
      </w:pPr>
      <w:r>
        <w:rPr>
          <w:sz w:val="22"/>
          <w:szCs w:val="22"/>
        </w:rPr>
        <w:t xml:space="preserve">Input validation — schema and sanity checks on inputs to the recommender.</w:t>
      </w:r>
    </w:p>
    <w:p>
      <w:pPr>
        <w:pStyle w:val="ListParagraph"/>
        <w:numPr>
          <w:ilvl w:val="0"/>
          <w:numId w:val="3"/>
        </w:numPr>
        <w:spacing w:after="60"/>
      </w:pPr>
      <w:r>
        <w:rPr>
          <w:sz w:val="22"/>
          <w:szCs w:val="22"/>
        </w:rPr>
        <w:t xml:space="preserve">Grounding check — independent AI verifier confirms each factual claim in the play is supported by an evidence row.</w:t>
      </w:r>
    </w:p>
    <w:p>
      <w:pPr>
        <w:pStyle w:val="ListParagraph"/>
        <w:numPr>
          <w:ilvl w:val="0"/>
          <w:numId w:val="3"/>
        </w:numPr>
        <w:spacing w:after="60"/>
      </w:pPr>
      <w:r>
        <w:rPr>
          <w:sz w:val="22"/>
          <w:szCs w:val="22"/>
        </w:rPr>
        <w:t xml:space="preserve">Suitability check — client-appropriate against risk profile, jurisdiction, product type.</w:t>
      </w:r>
    </w:p>
    <w:p>
      <w:pPr>
        <w:pStyle w:val="ListParagraph"/>
        <w:numPr>
          <w:ilvl w:val="0"/>
          <w:numId w:val="3"/>
        </w:numPr>
        <w:spacing w:after="60"/>
      </w:pPr>
      <w:r>
        <w:rPr>
          <w:sz w:val="22"/>
          <w:szCs w:val="22"/>
        </w:rPr>
        <w:t xml:space="preserve">Reg BI / Fiduciary posture — best-interest framing verified.</w:t>
      </w:r>
    </w:p>
    <w:p>
      <w:pPr>
        <w:pStyle w:val="ListParagraph"/>
        <w:numPr>
          <w:ilvl w:val="0"/>
          <w:numId w:val="3"/>
        </w:numPr>
        <w:spacing w:after="60"/>
      </w:pPr>
      <w:r>
        <w:rPr>
          <w:sz w:val="22"/>
          <w:szCs w:val="22"/>
        </w:rPr>
        <w:t xml:space="preserve">Jurisdiction / cross-border eligibility — verifies product availability in client's jurisdiction (deferred to a hardcoded lookup in MVP).</w:t>
      </w:r>
    </w:p>
    <w:p>
      <w:pPr>
        <w:pStyle w:val="ListParagraph"/>
        <w:numPr>
          <w:ilvl w:val="0"/>
          <w:numId w:val="3"/>
        </w:numPr>
        <w:spacing w:after="60"/>
      </w:pPr>
      <w:r>
        <w:rPr>
          <w:sz w:val="22"/>
          <w:szCs w:val="22"/>
        </w:rPr>
        <w:t xml:space="preserve">Concentration and IPS — flags recommendations that would violate reasonable concentration limits.</w:t>
      </w:r>
    </w:p>
    <w:p>
      <w:pPr>
        <w:pStyle w:val="ListParagraph"/>
        <w:numPr>
          <w:ilvl w:val="0"/>
          <w:numId w:val="3"/>
        </w:numPr>
        <w:spacing w:after="60"/>
      </w:pPr>
      <w:r>
        <w:rPr>
          <w:sz w:val="22"/>
          <w:szCs w:val="22"/>
        </w:rPr>
        <w:t xml:space="preserve">Human approval — advisor must explicitly approve; nothing auto-sends.</w:t>
      </w:r>
    </w:p>
    <w:p>
      <w:pPr>
        <w:pStyle w:val="ListParagraph"/>
        <w:numPr>
          <w:ilvl w:val="0"/>
          <w:numId w:val="3"/>
        </w:numPr>
        <w:spacing w:after="60"/>
      </w:pPr>
      <w:r>
        <w:rPr>
          <w:sz w:val="22"/>
          <w:szCs w:val="22"/>
        </w:rPr>
        <w:t xml:space="preserve">Audit log — every decision, block, and approval is written to the immutable log with a full input/output snapshot.</w:t>
      </w:r>
    </w:p>
    <w:p>
      <w:pPr>
        <w:pStyle w:val="Heading2"/>
        <w:spacing w:after="140" w:before="280"/>
      </w:pPr>
      <w:r>
        <w:rPr>
          <w:b/>
          <w:bCs/>
          <w:color w:val="2E75B6"/>
          <w:sz w:val="26"/>
          <w:szCs w:val="26"/>
        </w:rPr>
        <w:t xml:space="preserve">7.2 MVP Compliance Scope</w:t>
      </w:r>
    </w:p>
    <w:p>
      <w:pPr>
        <w:spacing w:after="120"/>
      </w:pPr>
      <w:r>
        <w:rPr>
          <w:sz w:val="22"/>
          <w:szCs w:val="22"/>
        </w:rPr>
        <w:t xml:space="preserve">MVP implements the grounding check (real AI verifier), suitability check (rules + AI), and the audit log fully. Jurisdiction, Reg BI, and concentration are implemented as extensible rule stubs — real rule content is out of scope, but the pipeline plumbing exists and can be extended without refactoring.</w:t>
      </w:r>
    </w:p>
    <w:p>
      <w:pPr>
        <w:pStyle w:val="Heading2"/>
        <w:spacing w:after="140" w:before="280"/>
      </w:pPr>
      <w:r>
        <w:rPr>
          <w:b/>
          <w:bCs/>
          <w:color w:val="2E75B6"/>
          <w:sz w:val="26"/>
          <w:szCs w:val="26"/>
        </w:rPr>
        <w:t xml:space="preserve">7.3 The Block-a-Bad-Recommendation Demo Moment</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Demo-critical: </w:t>
      </w:r>
      <w:r>
        <w:rPr>
          <w:sz w:val="22"/>
          <w:szCs w:val="22"/>
        </w:rPr>
        <w:t xml:space="preserve">The seed dataset MUST include at least one client for whom the recommender will propose an action that the compliance gauntlet blocks. The demo hinges on showing this block in real time. Recommended: a jurisdiction/product mismatch (e.g. proposing a US-domiciled product to an EMEA-UK client) — visually clear and easy for a judge to understand.</w:t>
      </w:r>
    </w:p>
    <w:p>
      <w:pPr>
        <w:pStyle w:val="Heading2"/>
        <w:spacing w:after="140" w:before="280"/>
      </w:pPr>
      <w:r>
        <w:rPr>
          <w:b/>
          <w:bCs/>
          <w:color w:val="2E75B6"/>
          <w:sz w:val="26"/>
          <w:szCs w:val="26"/>
        </w:rPr>
        <w:t xml:space="preserve">7.4 Audit Log</w:t>
      </w:r>
    </w:p>
    <w:p>
      <w:pPr>
        <w:spacing w:after="120"/>
      </w:pPr>
      <w:r>
        <w:rPr>
          <w:sz w:val="22"/>
          <w:szCs w:val="22"/>
        </w:rPr>
        <w:t xml:space="preserve">Append-only SQLite table. Every row includes: timestamp, actor (system|advisor), action, client_id, payload (JSON), prev_hash, this_hash. Any external tampering with prior rows breaks the chain and is detectable. This is not blockchain-grade, but it satisfies the demo's audit-trail claim and is a real, defensible pattern.</w:t>
      </w:r>
    </w:p>
    <w:p>
      <w:r>
        <w:br w:type="page"/>
      </w:r>
    </w:p>
    <w:p>
      <w:pPr>
        <w:pStyle w:val="Heading1"/>
        <w:spacing w:after="180" w:before="360"/>
      </w:pPr>
      <w:r>
        <w:rPr>
          <w:b/>
          <w:bCs/>
          <w:color w:val="1F4E79"/>
          <w:sz w:val="32"/>
          <w:szCs w:val="32"/>
        </w:rPr>
        <w:t xml:space="preserve">8. Screens and User Flows</w:t>
      </w:r>
    </w:p>
    <w:p>
      <w:pPr>
        <w:pStyle w:val="Heading2"/>
        <w:spacing w:after="140" w:before="280"/>
      </w:pPr>
      <w:r>
        <w:rPr>
          <w:b/>
          <w:bCs/>
          <w:color w:val="2E75B6"/>
          <w:sz w:val="26"/>
          <w:szCs w:val="26"/>
        </w:rPr>
        <w:t xml:space="preserve">8.1 Screen Map</w:t>
      </w:r>
    </w:p>
    <w:p>
      <w:pPr>
        <w:spacing w:after="120"/>
      </w:pPr>
      <w:r>
        <w:rPr>
          <w:sz w:val="22"/>
          <w:szCs w:val="22"/>
        </w:rPr>
        <w:t xml:space="preserve">Seven screens comprise the demo flow. Each is specified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2E75B6" w:val="clear"/>
          </w:tcPr>
          <w:p>
            <w:r>
              <w:rPr>
                <w:b/>
                <w:bCs/>
                <w:color w:val="FFFFFF"/>
                <w:sz w:val="22"/>
                <w:szCs w:val="22"/>
              </w:rPr>
              <w:t xml:space="preserve">Screen</w:t>
            </w:r>
          </w:p>
        </w:tc>
        <w:tc>
          <w:tcPr>
            <w:tcW w:type="dxa" w:w="6400"/>
            <w:shd w:fill="2E75B6" w:val="clear"/>
          </w:tcPr>
          <w:p>
            <w:r>
              <w:rPr>
                <w:b/>
                <w:bCs/>
                <w:color w:val="FFFFFF"/>
                <w:sz w:val="22"/>
                <w:szCs w:val="22"/>
              </w:rPr>
              <w:t xml:space="preserve">Purpose</w:t>
            </w:r>
          </w:p>
        </w:tc>
      </w:tr>
      <w:tr>
        <w:tc>
          <w:tcPr>
            <w:tcW w:type="dxa" w:w="3000"/>
          </w:tcPr>
          <w:p>
            <w:r>
              <w:rPr>
                <w:b w:val="false"/>
                <w:bCs w:val="false"/>
                <w:color w:val="000000"/>
                <w:sz w:val="20"/>
                <w:szCs w:val="20"/>
              </w:rPr>
              <w:t xml:space="preserve">1. Book Overview</w:t>
            </w:r>
          </w:p>
        </w:tc>
        <w:tc>
          <w:tcPr>
            <w:tcW w:type="dxa" w:w="6400"/>
          </w:tcPr>
          <w:p>
            <w:r>
              <w:rPr>
                <w:b w:val="false"/>
                <w:bCs w:val="false"/>
                <w:color w:val="000000"/>
                <w:sz w:val="20"/>
                <w:szCs w:val="20"/>
              </w:rPr>
              <w:t xml:space="preserve">Ranked Actionable list + Watchlist. KPI strip. Regime filter.</w:t>
            </w:r>
          </w:p>
        </w:tc>
      </w:tr>
      <w:tr>
        <w:tc>
          <w:tcPr>
            <w:tcW w:type="dxa" w:w="3000"/>
            <w:shd w:fill="F4F8FC" w:val="clear"/>
          </w:tcPr>
          <w:p>
            <w:r>
              <w:rPr>
                <w:b w:val="false"/>
                <w:bCs w:val="false"/>
                <w:color w:val="000000"/>
                <w:sz w:val="20"/>
                <w:szCs w:val="20"/>
              </w:rPr>
              <w:t xml:space="preserve">2. Client Profile</w:t>
            </w:r>
          </w:p>
        </w:tc>
        <w:tc>
          <w:tcPr>
            <w:tcW w:type="dxa" w:w="6400"/>
            <w:shd w:fill="F4F8FC" w:val="clear"/>
          </w:tcPr>
          <w:p>
            <w:r>
              <w:rPr>
                <w:b w:val="false"/>
                <w:bCs w:val="false"/>
                <w:color w:val="000000"/>
                <w:sz w:val="20"/>
                <w:szCs w:val="20"/>
              </w:rPr>
              <w:t xml:space="preserve">Held-away estimate with band. Evidence panel. Regime badge.</w:t>
            </w:r>
          </w:p>
        </w:tc>
      </w:tr>
      <w:tr>
        <w:tc>
          <w:tcPr>
            <w:tcW w:type="dxa" w:w="3000"/>
          </w:tcPr>
          <w:p>
            <w:r>
              <w:rPr>
                <w:b w:val="false"/>
                <w:bCs w:val="false"/>
                <w:color w:val="000000"/>
                <w:sz w:val="20"/>
                <w:szCs w:val="20"/>
              </w:rPr>
              <w:t xml:space="preserve">3. Evidence Graph</w:t>
            </w:r>
          </w:p>
        </w:tc>
        <w:tc>
          <w:tcPr>
            <w:tcW w:type="dxa" w:w="6400"/>
          </w:tcPr>
          <w:p>
            <w:r>
              <w:rPr>
                <w:b w:val="false"/>
                <w:bCs w:val="false"/>
                <w:color w:val="000000"/>
                <w:sz w:val="20"/>
                <w:szCs w:val="20"/>
              </w:rPr>
              <w:t xml:space="preserve">Signals -&gt; combined confidence -&gt; size band -&gt; decision.</w:t>
            </w:r>
          </w:p>
        </w:tc>
      </w:tr>
      <w:tr>
        <w:tc>
          <w:tcPr>
            <w:tcW w:type="dxa" w:w="3000"/>
            <w:shd w:fill="F4F8FC" w:val="clear"/>
          </w:tcPr>
          <w:p>
            <w:r>
              <w:rPr>
                <w:b w:val="false"/>
                <w:bCs w:val="false"/>
                <w:color w:val="000000"/>
                <w:sz w:val="20"/>
                <w:szCs w:val="20"/>
              </w:rPr>
              <w:t xml:space="preserve">4. Recommendation</w:t>
            </w:r>
          </w:p>
        </w:tc>
        <w:tc>
          <w:tcPr>
            <w:tcW w:type="dxa" w:w="6400"/>
            <w:shd w:fill="F4F8FC" w:val="clear"/>
          </w:tcPr>
          <w:p>
            <w:r>
              <w:rPr>
                <w:b w:val="false"/>
                <w:bCs w:val="false"/>
                <w:color w:val="000000"/>
                <w:sz w:val="20"/>
                <w:szCs w:val="20"/>
              </w:rPr>
              <w:t xml:space="preserve">Generated play with citations. Value proposition selected.</w:t>
            </w:r>
          </w:p>
        </w:tc>
      </w:tr>
      <w:tr>
        <w:tc>
          <w:tcPr>
            <w:tcW w:type="dxa" w:w="3000"/>
          </w:tcPr>
          <w:p>
            <w:r>
              <w:rPr>
                <w:b w:val="false"/>
                <w:bCs w:val="false"/>
                <w:color w:val="000000"/>
                <w:sz w:val="20"/>
                <w:szCs w:val="20"/>
              </w:rPr>
              <w:t xml:space="preserve">5. Compliance Result</w:t>
            </w:r>
          </w:p>
        </w:tc>
        <w:tc>
          <w:tcPr>
            <w:tcW w:type="dxa" w:w="6400"/>
          </w:tcPr>
          <w:p>
            <w:r>
              <w:rPr>
                <w:b w:val="false"/>
                <w:bCs w:val="false"/>
                <w:color w:val="000000"/>
                <w:sz w:val="20"/>
                <w:szCs w:val="20"/>
              </w:rPr>
              <w:t xml:space="preserve">PASS or BLOCKED. If blocked, the reason and rule.</w:t>
            </w:r>
          </w:p>
        </w:tc>
      </w:tr>
      <w:tr>
        <w:tc>
          <w:tcPr>
            <w:tcW w:type="dxa" w:w="3000"/>
            <w:shd w:fill="F4F8FC" w:val="clear"/>
          </w:tcPr>
          <w:p>
            <w:r>
              <w:rPr>
                <w:b w:val="false"/>
                <w:bCs w:val="false"/>
                <w:color w:val="000000"/>
                <w:sz w:val="20"/>
                <w:szCs w:val="20"/>
              </w:rPr>
              <w:t xml:space="preserve">6. Advisor Edit</w:t>
            </w:r>
          </w:p>
        </w:tc>
        <w:tc>
          <w:tcPr>
            <w:tcW w:type="dxa" w:w="6400"/>
            <w:shd w:fill="F4F8FC" w:val="clear"/>
          </w:tcPr>
          <w:p>
            <w:r>
              <w:rPr>
                <w:b w:val="false"/>
                <w:bCs w:val="false"/>
                <w:color w:val="000000"/>
                <w:sz w:val="20"/>
                <w:szCs w:val="20"/>
              </w:rPr>
              <w:t xml:space="preserve">Advisor edits play, marks as approved, or rejects with reason.</w:t>
            </w:r>
          </w:p>
        </w:tc>
      </w:tr>
      <w:tr>
        <w:tc>
          <w:tcPr>
            <w:tcW w:type="dxa" w:w="3000"/>
          </w:tcPr>
          <w:p>
            <w:r>
              <w:rPr>
                <w:b w:val="false"/>
                <w:bCs w:val="false"/>
                <w:color w:val="000000"/>
                <w:sz w:val="20"/>
                <w:szCs w:val="20"/>
              </w:rPr>
              <w:t xml:space="preserve">7. Projected Net Flow</w:t>
            </w:r>
          </w:p>
        </w:tc>
        <w:tc>
          <w:tcPr>
            <w:tcW w:type="dxa" w:w="6400"/>
          </w:tcPr>
          <w:p>
            <w:r>
              <w:rPr>
                <w:b w:val="false"/>
                <w:bCs w:val="false"/>
                <w:color w:val="000000"/>
                <w:sz w:val="20"/>
                <w:szCs w:val="20"/>
              </w:rPr>
              <w:t xml:space="preserve">Post-approval projection. Revenue estimate. Household roll-up.</w:t>
            </w:r>
          </w:p>
        </w:tc>
      </w:tr>
      <w:tr>
        <w:tc>
          <w:tcPr>
            <w:tcW w:type="dxa" w:w="3000"/>
            <w:shd w:fill="F4F8FC" w:val="clear"/>
          </w:tcPr>
          <w:p>
            <w:r>
              <w:rPr>
                <w:b w:val="false"/>
                <w:bCs w:val="false"/>
                <w:color w:val="000000"/>
                <w:sz w:val="20"/>
                <w:szCs w:val="20"/>
              </w:rPr>
              <w:t xml:space="preserve">S. Settings</w:t>
            </w:r>
          </w:p>
        </w:tc>
        <w:tc>
          <w:tcPr>
            <w:tcW w:type="dxa" w:w="6400"/>
            <w:shd w:fill="F4F8FC" w:val="clear"/>
          </w:tcPr>
          <w:p>
            <w:r>
              <w:rPr>
                <w:b w:val="false"/>
                <w:bCs w:val="false"/>
                <w:color w:val="000000"/>
                <w:sz w:val="20"/>
                <w:szCs w:val="20"/>
              </w:rPr>
              <w:t xml:space="preserve">Provider selection, API key, model name, test connection, mock toggle.</w:t>
            </w:r>
          </w:p>
        </w:tc>
      </w:tr>
      <w:tr>
        <w:tc>
          <w:tcPr>
            <w:tcW w:type="dxa" w:w="3000"/>
          </w:tcPr>
          <w:p>
            <w:r>
              <w:rPr>
                <w:b w:val="false"/>
                <w:bCs w:val="false"/>
                <w:color w:val="000000"/>
                <w:sz w:val="20"/>
                <w:szCs w:val="20"/>
              </w:rPr>
              <w:t xml:space="preserve">A. Audit</w:t>
            </w:r>
          </w:p>
        </w:tc>
        <w:tc>
          <w:tcPr>
            <w:tcW w:type="dxa" w:w="6400"/>
          </w:tcPr>
          <w:p>
            <w:r>
              <w:rPr>
                <w:b w:val="false"/>
                <w:bCs w:val="false"/>
                <w:color w:val="000000"/>
                <w:sz w:val="20"/>
                <w:szCs w:val="20"/>
              </w:rPr>
              <w:t xml:space="preserve">Chronological event log. Filter by client. Hash chain visualization.</w:t>
            </w:r>
          </w:p>
        </w:tc>
      </w:tr>
    </w:tbl>
    <w:p>
      <w:pPr>
        <w:spacing w:after="200"/>
      </w:pPr>
      <w:r>
        <w:t xml:space="preserve"/>
      </w:r>
    </w:p>
    <w:p>
      <w:pPr>
        <w:pStyle w:val="Heading2"/>
        <w:spacing w:after="140" w:before="280"/>
      </w:pPr>
      <w:r>
        <w:rPr>
          <w:b/>
          <w:bCs/>
          <w:color w:val="2E75B6"/>
          <w:sz w:val="26"/>
          <w:szCs w:val="26"/>
        </w:rPr>
        <w:t xml:space="preserve">8.2 Screen 1 — Book Overview</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Top strip: overall KPIs (n_clients, n_actionable, estimated held-away total, projected pipeline).</w:t>
      </w:r>
    </w:p>
    <w:p>
      <w:pPr>
        <w:pStyle w:val="ListParagraph"/>
        <w:numPr>
          <w:ilvl w:val="0"/>
          <w:numId w:val="2"/>
        </w:numPr>
        <w:spacing w:after="60"/>
      </w:pPr>
      <w:r>
        <w:rPr>
          <w:sz w:val="22"/>
          <w:szCs w:val="22"/>
        </w:rPr>
        <w:t xml:space="preserve">Left panel: filter by segment, jurisdiction, regime, life event.</w:t>
      </w:r>
    </w:p>
    <w:p>
      <w:pPr>
        <w:pStyle w:val="ListParagraph"/>
        <w:numPr>
          <w:ilvl w:val="0"/>
          <w:numId w:val="2"/>
        </w:numPr>
        <w:spacing w:after="60"/>
      </w:pPr>
      <w:r>
        <w:rPr>
          <w:sz w:val="22"/>
          <w:szCs w:val="22"/>
        </w:rPr>
        <w:t xml:space="preserve">Main: two tabbed lists — Actionable (default) and Watchlist.</w:t>
      </w:r>
    </w:p>
    <w:p>
      <w:pPr>
        <w:pStyle w:val="ListParagraph"/>
        <w:numPr>
          <w:ilvl w:val="0"/>
          <w:numId w:val="2"/>
        </w:numPr>
        <w:spacing w:after="60"/>
      </w:pPr>
      <w:r>
        <w:rPr>
          <w:sz w:val="22"/>
          <w:szCs w:val="22"/>
        </w:rPr>
        <w:t xml:space="preserve">Each row: rank badge, client name, segment, held-away estimate, confidence badge, life event chip, expected net flow, primary consolidation reason.</w:t>
      </w:r>
    </w:p>
    <w:p>
      <w:pPr>
        <w:pStyle w:val="ListParagraph"/>
        <w:numPr>
          <w:ilvl w:val="0"/>
          <w:numId w:val="2"/>
        </w:numPr>
        <w:spacing w:after="60"/>
      </w:pPr>
      <w:r>
        <w:rPr>
          <w:sz w:val="22"/>
          <w:szCs w:val="22"/>
        </w:rPr>
        <w:t xml:space="preserve">Row click -&gt; Client Profile.</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/book?segment=&amp;regime=&amp;life_event=&amp;sort=rank</w:t>
      </w:r>
    </w:p>
    <w:p>
      <w:pPr>
        <w:spacing w:after="120"/>
      </w:pPr>
      <w:r>
        <w:rPr>
          <w:sz w:val="22"/>
          <w:szCs w:val="22"/>
        </w:rPr>
        <w:t xml:space="preserve">Returns paginated (page size 20) rows. Actionable and Watchlist are separate endpoints or a `list` query parameter.</w:t>
      </w:r>
    </w:p>
    <w:p>
      <w:pPr>
        <w:pStyle w:val="Heading3"/>
        <w:spacing w:after="100" w:before="200"/>
      </w:pPr>
      <w:r>
        <w:rPr>
          <w:b/>
          <w:bCs/>
          <w:sz w:val="22"/>
          <w:szCs w:val="22"/>
        </w:rPr>
        <w:t xml:space="preserve">Copy patterns</w:t>
      </w:r>
    </w:p>
    <w:p>
      <w:pPr>
        <w:pStyle w:val="ListParagraph"/>
        <w:numPr>
          <w:ilvl w:val="0"/>
          <w:numId w:val="2"/>
        </w:numPr>
        <w:spacing w:after="60"/>
      </w:pPr>
      <w:r>
        <w:rPr>
          <w:sz w:val="22"/>
          <w:szCs w:val="22"/>
        </w:rPr>
        <w:t xml:space="preserve">Confidence badge — three tiers: High (green, 90%+), Medium (amber, 70-89%), Watchlist-only (grey).</w:t>
      </w:r>
    </w:p>
    <w:p>
      <w:pPr>
        <w:pStyle w:val="ListParagraph"/>
        <w:numPr>
          <w:ilvl w:val="0"/>
          <w:numId w:val="2"/>
        </w:numPr>
        <w:spacing w:after="60"/>
      </w:pPr>
      <w:r>
        <w:rPr>
          <w:sz w:val="22"/>
          <w:szCs w:val="22"/>
        </w:rPr>
        <w:t xml:space="preserve">Expected net flow shown in millions, one decimal (e.g. "$8.4M").</w:t>
      </w:r>
    </w:p>
    <w:p>
      <w:pPr>
        <w:pStyle w:val="ListParagraph"/>
        <w:numPr>
          <w:ilvl w:val="0"/>
          <w:numId w:val="2"/>
        </w:numPr>
        <w:spacing w:after="60"/>
      </w:pPr>
      <w:r>
        <w:rPr>
          <w:sz w:val="22"/>
          <w:szCs w:val="22"/>
        </w:rPr>
        <w:t xml:space="preserve">Consolidation reason is a short chip (e.g. "SBLOC advantage", "cross-border", "tax-loss harvest").</w:t>
      </w:r>
    </w:p>
    <w:p>
      <w:pPr>
        <w:pStyle w:val="Heading2"/>
        <w:spacing w:after="140" w:before="280"/>
      </w:pPr>
      <w:r>
        <w:rPr>
          <w:b/>
          <w:bCs/>
          <w:color w:val="2E75B6"/>
          <w:sz w:val="26"/>
          <w:szCs w:val="26"/>
        </w:rPr>
        <w:t xml:space="preserve">8.3 Screen 2 — Client Profile</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Header: client name, segment, jurisdiction, household size, age, tenure, primary advisor.</w:t>
      </w:r>
    </w:p>
    <w:p>
      <w:pPr>
        <w:pStyle w:val="ListParagraph"/>
        <w:numPr>
          <w:ilvl w:val="0"/>
          <w:numId w:val="2"/>
        </w:numPr>
        <w:spacing w:after="60"/>
      </w:pPr>
      <w:r>
        <w:rPr>
          <w:sz w:val="22"/>
          <w:szCs w:val="22"/>
        </w:rPr>
        <w:t xml:space="preserve">Held-away estimate card: mid-point value, low/high band, confidence percentage, regime badge, source count.</w:t>
      </w:r>
    </w:p>
    <w:p>
      <w:pPr>
        <w:pStyle w:val="ListParagraph"/>
        <w:numPr>
          <w:ilvl w:val="0"/>
          <w:numId w:val="2"/>
        </w:numPr>
        <w:spacing w:after="60"/>
      </w:pPr>
      <w:r>
        <w:rPr>
          <w:sz w:val="22"/>
          <w:szCs w:val="22"/>
        </w:rPr>
        <w:t xml:space="preserve">Ranking factors card: horizontal bars for each factor with the actual score.</w:t>
      </w:r>
    </w:p>
    <w:p>
      <w:pPr>
        <w:pStyle w:val="ListParagraph"/>
        <w:numPr>
          <w:ilvl w:val="0"/>
          <w:numId w:val="2"/>
        </w:numPr>
        <w:spacing w:after="60"/>
      </w:pPr>
      <w:r>
        <w:rPr>
          <w:sz w:val="22"/>
          <w:szCs w:val="22"/>
        </w:rPr>
        <w:t xml:space="preserve">Household strip: other members (if any), their AUM, and whether they have opportunities of their own.</w:t>
      </w:r>
    </w:p>
    <w:p>
      <w:pPr>
        <w:pStyle w:val="ListParagraph"/>
        <w:numPr>
          <w:ilvl w:val="0"/>
          <w:numId w:val="2"/>
        </w:numPr>
        <w:spacing w:after="60"/>
      </w:pPr>
      <w:r>
        <w:rPr>
          <w:sz w:val="22"/>
          <w:szCs w:val="22"/>
        </w:rPr>
        <w:t xml:space="preserve">CTAs: "Generate recommendation", "Run simulator".</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/clients/{id}</w:t>
      </w:r>
    </w:p>
    <w:p>
      <w:pPr>
        <w:pStyle w:val="Heading2"/>
        <w:spacing w:after="140" w:before="280"/>
      </w:pPr>
      <w:r>
        <w:rPr>
          <w:b/>
          <w:bCs/>
          <w:color w:val="2E75B6"/>
          <w:sz w:val="26"/>
          <w:szCs w:val="26"/>
        </w:rPr>
        <w:t xml:space="preserve">8.4 Screen 3 — Evidence Panel</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Vertical list of signals for the client, each showing: type, specificity (color-graded), raw amount, implied size, source description.</w:t>
      </w:r>
    </w:p>
    <w:p>
      <w:pPr>
        <w:pStyle w:val="ListParagraph"/>
        <w:numPr>
          <w:ilvl w:val="0"/>
          <w:numId w:val="2"/>
        </w:numPr>
        <w:spacing w:after="60"/>
      </w:pPr>
      <w:r>
        <w:rPr>
          <w:sz w:val="22"/>
          <w:szCs w:val="22"/>
        </w:rPr>
        <w:t xml:space="preserve">Sidebar: noisy-OR computation shown step-by-step (educational and defensible).</w:t>
      </w:r>
    </w:p>
    <w:p>
      <w:pPr>
        <w:pStyle w:val="ListParagraph"/>
        <w:numPr>
          <w:ilvl w:val="0"/>
          <w:numId w:val="2"/>
        </w:numPr>
        <w:spacing w:after="60"/>
      </w:pPr>
      <w:r>
        <w:rPr>
          <w:sz w:val="22"/>
          <w:szCs w:val="22"/>
        </w:rPr>
        <w:t xml:space="preserve">Bottom: the final probability, size mid, and size band, plus decision (surface | abstain) with the reason string.</w:t>
      </w:r>
    </w:p>
    <w:p>
      <w:pPr>
        <w:pStyle w:val="Heading2"/>
        <w:spacing w:after="140" w:before="280"/>
      </w:pPr>
      <w:r>
        <w:rPr>
          <w:b/>
          <w:bCs/>
          <w:color w:val="2E75B6"/>
          <w:sz w:val="26"/>
          <w:szCs w:val="26"/>
        </w:rPr>
        <w:t xml:space="preserve">8.5 Screen 4 — Recommendation</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Play card: heading, 3-4 paragraph play generated by Claude with inline citations linked back to specific evidence rows.</w:t>
      </w:r>
    </w:p>
    <w:p>
      <w:pPr>
        <w:pStyle w:val="ListParagraph"/>
        <w:numPr>
          <w:ilvl w:val="0"/>
          <w:numId w:val="2"/>
        </w:numPr>
        <w:spacing w:after="60"/>
      </w:pPr>
      <w:r>
        <w:rPr>
          <w:sz w:val="22"/>
          <w:szCs w:val="22"/>
        </w:rPr>
        <w:t xml:space="preserve">Selected value proposition (SBLOC, cross-border, tax, etc.) shown as a labeled chip.</w:t>
      </w:r>
    </w:p>
    <w:p>
      <w:pPr>
        <w:pStyle w:val="ListParagraph"/>
        <w:numPr>
          <w:ilvl w:val="0"/>
          <w:numId w:val="2"/>
        </w:numPr>
        <w:spacing w:after="60"/>
      </w:pPr>
      <w:r>
        <w:rPr>
          <w:sz w:val="22"/>
          <w:szCs w:val="22"/>
        </w:rPr>
        <w:t xml:space="preserve">Compliance badge (initially spinning): PASS or BLOCKED once check completes.</w:t>
      </w:r>
    </w:p>
    <w:p>
      <w:pPr>
        <w:pStyle w:val="ListParagraph"/>
        <w:numPr>
          <w:ilvl w:val="0"/>
          <w:numId w:val="2"/>
        </w:numPr>
        <w:spacing w:after="60"/>
      </w:pPr>
      <w:r>
        <w:rPr>
          <w:sz w:val="22"/>
          <w:szCs w:val="22"/>
        </w:rPr>
        <w:t xml:space="preserve">Suggested next-step: draft outreach message (email/call script).</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POST /recommendations/{client_id}</w:t>
      </w:r>
      <w:r>
        <w:rPr>
          <w:rFonts w:ascii="Consolas" w:cs="Consolas" w:eastAsia="Consolas" w:hAnsi="Consolas"/>
          <w:sz w:val="20"/>
          <w:szCs w:val="20"/>
        </w:rPr>
        <w:br/>
        <w:t xml:space="preserve">{ regenerate: bool = false }</w:t>
      </w:r>
    </w:p>
    <w:p>
      <w:pPr>
        <w:spacing w:after="120"/>
      </w:pPr>
      <w:r>
        <w:rPr>
          <w:sz w:val="22"/>
          <w:szCs w:val="22"/>
        </w:rPr>
        <w:t xml:space="preserve">Backend orchestrates: recommender.generate() -&gt; compliance.check() -&gt; return play + compliance result.</w:t>
      </w:r>
    </w:p>
    <w:p>
      <w:pPr>
        <w:pStyle w:val="Heading2"/>
        <w:spacing w:after="140" w:before="280"/>
      </w:pPr>
      <w:r>
        <w:rPr>
          <w:b/>
          <w:bCs/>
          <w:color w:val="2E75B6"/>
          <w:sz w:val="26"/>
          <w:szCs w:val="26"/>
        </w:rPr>
        <w:t xml:space="preserve">8.6 Screen 5 — Compliance Result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Overall verdict banner: PASS (green) or BLOCKED (red).</w:t>
      </w:r>
    </w:p>
    <w:p>
      <w:pPr>
        <w:pStyle w:val="ListParagraph"/>
        <w:numPr>
          <w:ilvl w:val="0"/>
          <w:numId w:val="2"/>
        </w:numPr>
        <w:spacing w:after="60"/>
      </w:pPr>
      <w:r>
        <w:rPr>
          <w:sz w:val="22"/>
          <w:szCs w:val="22"/>
        </w:rPr>
        <w:t xml:space="preserve">Per-check breakdown: grounding, suitability, Reg BI, jurisdiction, concentration. Each shows PASS/BLOCK/N/A with a one-line rationale.</w:t>
      </w:r>
    </w:p>
    <w:p>
      <w:pPr>
        <w:pStyle w:val="ListParagraph"/>
        <w:numPr>
          <w:ilvl w:val="0"/>
          <w:numId w:val="2"/>
        </w:numPr>
        <w:spacing w:after="60"/>
      </w:pPr>
      <w:r>
        <w:rPr>
          <w:sz w:val="22"/>
          <w:szCs w:val="22"/>
        </w:rPr>
        <w:t xml:space="preserve">If BLOCKED, prominent explanation of why and what would need to change.</w:t>
      </w:r>
    </w:p>
    <w:p>
      <w:pPr>
        <w:pStyle w:val="ListParagraph"/>
        <w:numPr>
          <w:ilvl w:val="0"/>
          <w:numId w:val="2"/>
        </w:numPr>
        <w:spacing w:after="60"/>
      </w:pPr>
      <w:r>
        <w:rPr>
          <w:sz w:val="22"/>
          <w:szCs w:val="22"/>
        </w:rPr>
        <w:t xml:space="preserve">Audit link: shows the full record written to the audit log.</w:t>
      </w:r>
    </w:p>
    <w:p>
      <w:pPr>
        <w:pStyle w:val="Heading2"/>
        <w:spacing w:after="140" w:before="280"/>
      </w:pPr>
      <w:r>
        <w:rPr>
          <w:b/>
          <w:bCs/>
          <w:color w:val="2E75B6"/>
          <w:sz w:val="26"/>
          <w:szCs w:val="26"/>
        </w:rPr>
        <w:t xml:space="preserve">8.7 Screen 6 — Advisor Edit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Editable version of the play (rich text).</w:t>
      </w:r>
    </w:p>
    <w:p>
      <w:pPr>
        <w:pStyle w:val="ListParagraph"/>
        <w:numPr>
          <w:ilvl w:val="0"/>
          <w:numId w:val="2"/>
        </w:numPr>
        <w:spacing w:after="60"/>
      </w:pPr>
      <w:r>
        <w:rPr>
          <w:sz w:val="22"/>
          <w:szCs w:val="22"/>
        </w:rPr>
        <w:t xml:space="preserve">Approve / Reject buttons.</w:t>
      </w:r>
    </w:p>
    <w:p>
      <w:pPr>
        <w:pStyle w:val="ListParagraph"/>
        <w:numPr>
          <w:ilvl w:val="0"/>
          <w:numId w:val="2"/>
        </w:numPr>
        <w:spacing w:after="60"/>
      </w:pPr>
      <w:r>
        <w:rPr>
          <w:sz w:val="22"/>
          <w:szCs w:val="22"/>
        </w:rPr>
        <w:t xml:space="preserve">If Reject: dropdown for reason (Wrong inference / Poor timing / Already discussed / Compliance concern / Client not interested / Other). Reason is stored for the (future) feedback loop.</w:t>
      </w:r>
    </w:p>
    <w:p>
      <w:pPr>
        <w:pStyle w:val="ListParagraph"/>
        <w:numPr>
          <w:ilvl w:val="0"/>
          <w:numId w:val="2"/>
        </w:numPr>
        <w:spacing w:after="60"/>
      </w:pPr>
      <w:r>
        <w:rPr>
          <w:sz w:val="22"/>
          <w:szCs w:val="22"/>
        </w:rPr>
        <w:t xml:space="preserve">Approval writes to audit log and marks the opportunity as "in progress".</w:t>
      </w:r>
    </w:p>
    <w:p>
      <w:pPr>
        <w:pStyle w:val="Heading2"/>
        <w:spacing w:after="140" w:before="280"/>
      </w:pPr>
      <w:r>
        <w:rPr>
          <w:b/>
          <w:bCs/>
          <w:color w:val="2E75B6"/>
          <w:sz w:val="26"/>
          <w:szCs w:val="26"/>
        </w:rPr>
        <w:t xml:space="preserve">8.8 Screen 7 — Projected Net Flow</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Post-approval summary card: projected AUM inflow, projected fee revenue year-1, expected timeline.</w:t>
      </w:r>
    </w:p>
    <w:p>
      <w:pPr>
        <w:pStyle w:val="ListParagraph"/>
        <w:numPr>
          <w:ilvl w:val="0"/>
          <w:numId w:val="2"/>
        </w:numPr>
        <w:spacing w:after="60"/>
      </w:pPr>
      <w:r>
        <w:rPr>
          <w:sz w:val="22"/>
          <w:szCs w:val="22"/>
        </w:rPr>
        <w:t xml:space="preserve">Household roll-up: if this client is part of a household, show the family-level opportunity total.</w:t>
      </w:r>
    </w:p>
    <w:p>
      <w:pPr>
        <w:pStyle w:val="ListParagraph"/>
        <w:numPr>
          <w:ilvl w:val="0"/>
          <w:numId w:val="2"/>
        </w:numPr>
        <w:spacing w:after="60"/>
      </w:pPr>
      <w:r>
        <w:rPr>
          <w:sz w:val="22"/>
          <w:szCs w:val="22"/>
        </w:rPr>
        <w:t xml:space="preserve">Assumptions box (transparent): what fee schedule was used, what conversion rate was assumed. Editable.</w:t>
      </w:r>
    </w:p>
    <w:p>
      <w:pPr>
        <w:pStyle w:val="Heading2"/>
        <w:spacing w:after="140" w:before="280"/>
      </w:pPr>
      <w:r>
        <w:rPr>
          <w:b/>
          <w:bCs/>
          <w:color w:val="2E75B6"/>
          <w:sz w:val="26"/>
          <w:szCs w:val="26"/>
        </w:rPr>
        <w:t xml:space="preserve">8.9 Screen S — Settings</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Provider selection: radio group (Anthropic | Google | Amazon Bedrock | Mock).</w:t>
      </w:r>
    </w:p>
    <w:p>
      <w:pPr>
        <w:pStyle w:val="ListParagraph"/>
        <w:numPr>
          <w:ilvl w:val="0"/>
          <w:numId w:val="2"/>
        </w:numPr>
        <w:spacing w:after="60"/>
      </w:pPr>
      <w:r>
        <w:rPr>
          <w:sz w:val="22"/>
          <w:szCs w:val="22"/>
        </w:rPr>
        <w:t xml:space="preserve">Per-provider config panel:</w:t>
      </w:r>
    </w:p>
    <w:p>
      <w:pPr>
        <w:pStyle w:val="ListParagraph"/>
        <w:numPr>
          <w:ilvl w:val="1"/>
          <w:numId w:val="2"/>
        </w:numPr>
        <w:spacing w:after="60"/>
      </w:pPr>
      <w:r>
        <w:rPr>
          <w:sz w:val="22"/>
          <w:szCs w:val="22"/>
        </w:rPr>
        <w:t xml:space="preserve">Anthropic: API key (masked input), model name (default: claude-opus-4-5 or per hackathon guidance), base URL (optional).</w:t>
      </w:r>
    </w:p>
    <w:p>
      <w:pPr>
        <w:pStyle w:val="ListParagraph"/>
        <w:numPr>
          <w:ilvl w:val="1"/>
          <w:numId w:val="2"/>
        </w:numPr>
        <w:spacing w:after="60"/>
      </w:pPr>
      <w:r>
        <w:rPr>
          <w:sz w:val="22"/>
          <w:szCs w:val="22"/>
        </w:rPr>
        <w:t xml:space="preserve">Google: API key (masked), model name (default: gemini-2.5-pro).</w:t>
      </w:r>
    </w:p>
    <w:p>
      <w:pPr>
        <w:pStyle w:val="ListParagraph"/>
        <w:numPr>
          <w:ilvl w:val="1"/>
          <w:numId w:val="2"/>
        </w:numPr>
        <w:spacing w:after="60"/>
      </w:pPr>
      <w:r>
        <w:rPr>
          <w:sz w:val="22"/>
          <w:szCs w:val="22"/>
        </w:rPr>
        <w:t xml:space="preserve">Bedrock: AWS access key ID, secret access key, region, model ID (default: amazon.nova-pro-v1:0).</w:t>
      </w:r>
    </w:p>
    <w:p>
      <w:pPr>
        <w:pStyle w:val="ListParagraph"/>
        <w:numPr>
          <w:ilvl w:val="0"/>
          <w:numId w:val="2"/>
        </w:numPr>
        <w:spacing w:after="60"/>
      </w:pPr>
      <w:r>
        <w:rPr>
          <w:sz w:val="22"/>
          <w:szCs w:val="22"/>
        </w:rPr>
        <w:t xml:space="preserve">Task routing overrides (advanced, collapsible): per-task provider override.</w:t>
      </w:r>
    </w:p>
    <w:p>
      <w:pPr>
        <w:pStyle w:val="ListParagraph"/>
        <w:numPr>
          <w:ilvl w:val="0"/>
          <w:numId w:val="2"/>
        </w:numPr>
        <w:spacing w:after="60"/>
      </w:pPr>
      <w:r>
        <w:rPr>
          <w:sz w:val="22"/>
          <w:szCs w:val="22"/>
        </w:rPr>
        <w:t xml:space="preserve">"Test connection" button per provider — makes a minimal call, shows latency and success.</w:t>
      </w:r>
    </w:p>
    <w:p>
      <w:pPr>
        <w:pStyle w:val="ListParagraph"/>
        <w:numPr>
          <w:ilvl w:val="0"/>
          <w:numId w:val="2"/>
        </w:numPr>
        <w:spacing w:after="60"/>
      </w:pPr>
      <w:r>
        <w:rPr>
          <w:sz w:val="22"/>
          <w:szCs w:val="22"/>
        </w:rPr>
        <w:t xml:space="preserve">"Save" button: encrypts keys via Fernet, writes to SQLite. Master key from OS keyring or, in degraded mode, from a local file (with a visible warning).</w:t>
      </w:r>
    </w:p>
    <w:p>
      <w:pPr>
        <w:pStyle w:val="ListParagraph"/>
        <w:numPr>
          <w:ilvl w:val="0"/>
          <w:numId w:val="2"/>
        </w:numPr>
        <w:spacing w:after="60"/>
      </w:pPr>
      <w:r>
        <w:rPr>
          <w:sz w:val="22"/>
          <w:szCs w:val="22"/>
        </w:rPr>
        <w:t xml:space="preserve">"Use mock provider" master toggle at top of page — overrides all provider selection when on.</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/settings              -&gt; returns non-sensitive config; keys never returned in plaintext</w:t>
      </w:r>
      <w:r>
        <w:rPr>
          <w:rFonts w:ascii="Consolas" w:cs="Consolas" w:eastAsia="Consolas" w:hAnsi="Consolas"/>
          <w:sz w:val="20"/>
          <w:szCs w:val="20"/>
        </w:rPr>
        <w:br/>
        <w:t xml:space="preserve">PUT /settings              -&gt; updates config; keys are encrypted before write</w:t>
      </w:r>
      <w:r>
        <w:rPr>
          <w:rFonts w:ascii="Consolas" w:cs="Consolas" w:eastAsia="Consolas" w:hAnsi="Consolas"/>
          <w:sz w:val="20"/>
          <w:szCs w:val="20"/>
        </w:rPr>
        <w:br/>
        <w:t xml:space="preserve">POST /settings/test/{p}    -&gt; tests a provider without persisting</w:t>
      </w:r>
    </w:p>
    <w:p>
      <w:pPr>
        <w:pStyle w:val="Heading3"/>
        <w:spacing w:after="100" w:before="200"/>
      </w:pPr>
      <w:r>
        <w:rPr>
          <w:b/>
          <w:bCs/>
          <w:sz w:val="22"/>
          <w:szCs w:val="22"/>
        </w:rPr>
        <w:t xml:space="preserve">Security notes</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Key handling: </w:t>
      </w:r>
      <w:r>
        <w:rPr>
          <w:sz w:val="22"/>
          <w:szCs w:val="22"/>
        </w:rPr>
        <w:t xml:space="preserve">API keys are the most sensitive artifact this app touches. Requirements: (a) never logged; (b) never returned in a GET response; (c) encrypted at rest via Fernet with a master key from OS keyring (fallback: local file with visible warning banner in the UI); (d) sent to backend only via HTTPS in production or localhost in demo; (e) cleared from memory on process exit. The mock provider ships as the default so a fresh install is safe out of the box.</w:t>
      </w:r>
    </w:p>
    <w:p>
      <w:pPr>
        <w:pStyle w:val="Heading2"/>
        <w:spacing w:after="140" w:before="280"/>
      </w:pPr>
      <w:r>
        <w:rPr>
          <w:b/>
          <w:bCs/>
          <w:color w:val="2E75B6"/>
          <w:sz w:val="26"/>
          <w:szCs w:val="26"/>
        </w:rPr>
        <w:t xml:space="preserve">8.10 Screen A — Audit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Chronological event log. Filters: date range, client, action type.</w:t>
      </w:r>
    </w:p>
    <w:p>
      <w:pPr>
        <w:pStyle w:val="ListParagraph"/>
        <w:numPr>
          <w:ilvl w:val="0"/>
          <w:numId w:val="2"/>
        </w:numPr>
        <w:spacing w:after="60"/>
      </w:pPr>
      <w:r>
        <w:rPr>
          <w:sz w:val="22"/>
          <w:szCs w:val="22"/>
        </w:rPr>
        <w:t xml:space="preserve">Each row: timestamp, actor, action, client, prev hash (short), this hash (short), payload (expandable).</w:t>
      </w:r>
    </w:p>
    <w:p>
      <w:pPr>
        <w:pStyle w:val="ListParagraph"/>
        <w:numPr>
          <w:ilvl w:val="0"/>
          <w:numId w:val="2"/>
        </w:numPr>
        <w:spacing w:after="60"/>
      </w:pPr>
      <w:r>
        <w:rPr>
          <w:sz w:val="22"/>
          <w:szCs w:val="22"/>
        </w:rPr>
        <w:t xml:space="preserve">"Verify chain" button: walks the chain and confirms integrity. Red banner if broken.</w:t>
      </w:r>
    </w:p>
    <w:p>
      <w:r>
        <w:br w:type="page"/>
      </w:r>
    </w:p>
    <w:p>
      <w:pPr>
        <w:pStyle w:val="Heading1"/>
        <w:spacing w:after="180" w:before="360"/>
      </w:pPr>
      <w:r>
        <w:rPr>
          <w:b/>
          <w:bCs/>
          <w:color w:val="1F4E79"/>
          <w:sz w:val="32"/>
          <w:szCs w:val="32"/>
        </w:rPr>
        <w:t xml:space="preserve">9. API Specification</w:t>
      </w:r>
    </w:p>
    <w:p>
      <w:pPr>
        <w:spacing w:after="120"/>
      </w:pPr>
      <w:r>
        <w:rPr>
          <w:sz w:val="22"/>
          <w:szCs w:val="22"/>
        </w:rPr>
        <w:t xml:space="preserve">All endpoints return JSON. Errors follow RFC 7807 (problem+json). Auth is out of scope for MVP — single-user localhost.</w:t>
      </w:r>
    </w:p>
    <w:p>
      <w:pPr>
        <w:pStyle w:val="Heading2"/>
        <w:spacing w:after="140" w:before="280"/>
      </w:pPr>
      <w:r>
        <w:rPr>
          <w:b/>
          <w:bCs/>
          <w:color w:val="2E75B6"/>
          <w:sz w:val="26"/>
          <w:szCs w:val="26"/>
        </w:rPr>
        <w:t xml:space="preserve">9.1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100"/>
      </w:tblGrid>
      <w:tr>
        <w:trPr>
          <w:tblHeader/>
        </w:trPr>
        <w:tc>
          <w:tcPr>
            <w:tcW w:type="dxa" w:w="1500"/>
            <w:shd w:fill="2E75B6" w:val="clear"/>
          </w:tcPr>
          <w:p>
            <w:r>
              <w:rPr>
                <w:b/>
                <w:bCs/>
                <w:color w:val="FFFFFF"/>
                <w:sz w:val="22"/>
                <w:szCs w:val="22"/>
              </w:rPr>
              <w:t xml:space="preserve">Method + Path</w:t>
            </w:r>
          </w:p>
        </w:tc>
        <w:tc>
          <w:tcPr>
            <w:tcW w:type="dxa" w:w="3800"/>
            <w:shd w:fill="2E75B6" w:val="clear"/>
          </w:tcPr>
          <w:p>
            <w:r>
              <w:rPr>
                <w:b/>
                <w:bCs/>
                <w:color w:val="FFFFFF"/>
                <w:sz w:val="22"/>
                <w:szCs w:val="22"/>
              </w:rPr>
              <w:t xml:space="preserve">Purpose</w:t>
            </w:r>
          </w:p>
        </w:tc>
        <w:tc>
          <w:tcPr>
            <w:tcW w:type="dxa" w:w="4100"/>
            <w:shd w:fill="2E75B6" w:val="clear"/>
          </w:tcPr>
          <w:p>
            <w:r>
              <w:rPr>
                <w:b/>
                <w:bCs/>
                <w:color w:val="FFFFFF"/>
                <w:sz w:val="22"/>
                <w:szCs w:val="22"/>
              </w:rPr>
              <w:t xml:space="preserve">Response</w:t>
            </w:r>
          </w:p>
        </w:tc>
      </w:tr>
      <w:tr>
        <w:tc>
          <w:tcPr>
            <w:tcW w:type="dxa" w:w="1500"/>
          </w:tcPr>
          <w:p>
            <w:r>
              <w:rPr>
                <w:b w:val="false"/>
                <w:bCs w:val="false"/>
                <w:color w:val="000000"/>
                <w:sz w:val="20"/>
                <w:szCs w:val="20"/>
              </w:rPr>
              <w:t xml:space="preserve">GET /health</w:t>
            </w:r>
          </w:p>
        </w:tc>
        <w:tc>
          <w:tcPr>
            <w:tcW w:type="dxa" w:w="3800"/>
          </w:tcPr>
          <w:p>
            <w:r>
              <w:rPr>
                <w:b w:val="false"/>
                <w:bCs w:val="false"/>
                <w:color w:val="000000"/>
                <w:sz w:val="20"/>
                <w:szCs w:val="20"/>
              </w:rPr>
              <w:t xml:space="preserve">Liveness</w:t>
            </w:r>
          </w:p>
        </w:tc>
        <w:tc>
          <w:tcPr>
            <w:tcW w:type="dxa" w:w="4100"/>
          </w:tcPr>
          <w:p>
            <w:r>
              <w:rPr>
                <w:b w:val="false"/>
                <w:bCs w:val="false"/>
                <w:color w:val="000000"/>
                <w:sz w:val="20"/>
                <w:szCs w:val="20"/>
              </w:rPr>
              <w:t xml:space="preserve">{status, version}</w:t>
            </w:r>
          </w:p>
        </w:tc>
      </w:tr>
      <w:tr>
        <w:tc>
          <w:tcPr>
            <w:tcW w:type="dxa" w:w="1500"/>
            <w:shd w:fill="F4F8FC" w:val="clear"/>
          </w:tcPr>
          <w:p>
            <w:r>
              <w:rPr>
                <w:b w:val="false"/>
                <w:bCs w:val="false"/>
                <w:color w:val="000000"/>
                <w:sz w:val="20"/>
                <w:szCs w:val="20"/>
              </w:rPr>
              <w:t xml:space="preserve">GET /book</w:t>
            </w:r>
          </w:p>
        </w:tc>
        <w:tc>
          <w:tcPr>
            <w:tcW w:type="dxa" w:w="3800"/>
            <w:shd w:fill="F4F8FC" w:val="clear"/>
          </w:tcPr>
          <w:p>
            <w:r>
              <w:rPr>
                <w:b w:val="false"/>
                <w:bCs w:val="false"/>
                <w:color w:val="000000"/>
                <w:sz w:val="20"/>
                <w:szCs w:val="20"/>
              </w:rPr>
              <w:t xml:space="preserve">Ranked book — actionable OR watchlist</w:t>
            </w:r>
          </w:p>
        </w:tc>
        <w:tc>
          <w:tcPr>
            <w:tcW w:type="dxa" w:w="4100"/>
            <w:shd w:fill="F4F8FC" w:val="clear"/>
          </w:tcPr>
          <w:p>
            <w:r>
              <w:rPr>
                <w:b w:val="false"/>
                <w:bCs w:val="false"/>
                <w:color w:val="000000"/>
                <w:sz w:val="20"/>
                <w:szCs w:val="20"/>
              </w:rPr>
              <w:t xml:space="preserve">{page, total, rows: [OpportunityRow]}</w:t>
            </w:r>
          </w:p>
        </w:tc>
      </w:tr>
      <w:tr>
        <w:tc>
          <w:tcPr>
            <w:tcW w:type="dxa" w:w="1500"/>
          </w:tcPr>
          <w:p>
            <w:r>
              <w:rPr>
                <w:b w:val="false"/>
                <w:bCs w:val="false"/>
                <w:color w:val="000000"/>
                <w:sz w:val="20"/>
                <w:szCs w:val="20"/>
              </w:rPr>
              <w:t xml:space="preserve">GET /clients/{id}</w:t>
            </w:r>
          </w:p>
        </w:tc>
        <w:tc>
          <w:tcPr>
            <w:tcW w:type="dxa" w:w="3800"/>
          </w:tcPr>
          <w:p>
            <w:r>
              <w:rPr>
                <w:b w:val="false"/>
                <w:bCs w:val="false"/>
                <w:color w:val="000000"/>
                <w:sz w:val="20"/>
                <w:szCs w:val="20"/>
              </w:rPr>
              <w:t xml:space="preserve">Client detail with signals and factors</w:t>
            </w:r>
          </w:p>
        </w:tc>
        <w:tc>
          <w:tcPr>
            <w:tcW w:type="dxa" w:w="4100"/>
          </w:tcPr>
          <w:p>
            <w:r>
              <w:rPr>
                <w:b w:val="false"/>
                <w:bCs w:val="false"/>
                <w:color w:val="000000"/>
                <w:sz w:val="20"/>
                <w:szCs w:val="20"/>
              </w:rPr>
              <w:t xml:space="preserve">{client, signals, held_away, factors, household}</w:t>
            </w:r>
          </w:p>
        </w:tc>
      </w:tr>
      <w:tr>
        <w:tc>
          <w:tcPr>
            <w:tcW w:type="dxa" w:w="1500"/>
            <w:shd w:fill="F4F8FC" w:val="clear"/>
          </w:tcPr>
          <w:p>
            <w:r>
              <w:rPr>
                <w:b w:val="false"/>
                <w:bCs w:val="false"/>
                <w:color w:val="000000"/>
                <w:sz w:val="20"/>
                <w:szCs w:val="20"/>
              </w:rPr>
              <w:t xml:space="preserve">POST /recommendations/{id}</w:t>
            </w:r>
          </w:p>
        </w:tc>
        <w:tc>
          <w:tcPr>
            <w:tcW w:type="dxa" w:w="3800"/>
            <w:shd w:fill="F4F8FC" w:val="clear"/>
          </w:tcPr>
          <w:p>
            <w:r>
              <w:rPr>
                <w:b w:val="false"/>
                <w:bCs w:val="false"/>
                <w:color w:val="000000"/>
                <w:sz w:val="20"/>
                <w:szCs w:val="20"/>
              </w:rPr>
              <w:t xml:space="preserve">Generate + compliance-check a play</w:t>
            </w:r>
          </w:p>
        </w:tc>
        <w:tc>
          <w:tcPr>
            <w:tcW w:type="dxa" w:w="4100"/>
            <w:shd w:fill="F4F8FC" w:val="clear"/>
          </w:tcPr>
          <w:p>
            <w:r>
              <w:rPr>
                <w:b w:val="false"/>
                <w:bCs w:val="false"/>
                <w:color w:val="000000"/>
                <w:sz w:val="20"/>
                <w:szCs w:val="20"/>
              </w:rPr>
              <w:t xml:space="preserve">{play, citations, compliance: {verdict, checks}, audit_id}</w:t>
            </w:r>
          </w:p>
        </w:tc>
      </w:tr>
      <w:tr>
        <w:tc>
          <w:tcPr>
            <w:tcW w:type="dxa" w:w="1500"/>
          </w:tcPr>
          <w:p>
            <w:r>
              <w:rPr>
                <w:b w:val="false"/>
                <w:bCs w:val="false"/>
                <w:color w:val="000000"/>
                <w:sz w:val="20"/>
                <w:szCs w:val="20"/>
              </w:rPr>
              <w:t xml:space="preserve">POST /compliance/check</w:t>
            </w:r>
          </w:p>
        </w:tc>
        <w:tc>
          <w:tcPr>
            <w:tcW w:type="dxa" w:w="3800"/>
          </w:tcPr>
          <w:p>
            <w:r>
              <w:rPr>
                <w:b w:val="false"/>
                <w:bCs w:val="false"/>
                <w:color w:val="000000"/>
                <w:sz w:val="20"/>
                <w:szCs w:val="20"/>
              </w:rPr>
              <w:t xml:space="preserve">Standalone compliance check on arbitrary text</w:t>
            </w:r>
          </w:p>
        </w:tc>
        <w:tc>
          <w:tcPr>
            <w:tcW w:type="dxa" w:w="4100"/>
          </w:tcPr>
          <w:p>
            <w:r>
              <w:rPr>
                <w:b w:val="false"/>
                <w:bCs w:val="false"/>
                <w:color w:val="000000"/>
                <w:sz w:val="20"/>
                <w:szCs w:val="20"/>
              </w:rPr>
              <w:t xml:space="preserve">{verdict, checks}</w:t>
            </w:r>
          </w:p>
        </w:tc>
      </w:tr>
      <w:tr>
        <w:tc>
          <w:tcPr>
            <w:tcW w:type="dxa" w:w="1500"/>
            <w:shd w:fill="F4F8FC" w:val="clear"/>
          </w:tcPr>
          <w:p>
            <w:r>
              <w:rPr>
                <w:b w:val="false"/>
                <w:bCs w:val="false"/>
                <w:color w:val="000000"/>
                <w:sz w:val="20"/>
                <w:szCs w:val="20"/>
              </w:rPr>
              <w:t xml:space="preserve">POST /simulator/scenario</w:t>
            </w:r>
          </w:p>
        </w:tc>
        <w:tc>
          <w:tcPr>
            <w:tcW w:type="dxa" w:w="3800"/>
            <w:shd w:fill="F4F8FC" w:val="clear"/>
          </w:tcPr>
          <w:p>
            <w:r>
              <w:rPr>
                <w:b w:val="false"/>
                <w:bCs w:val="false"/>
                <w:color w:val="000000"/>
                <w:sz w:val="20"/>
                <w:szCs w:val="20"/>
              </w:rPr>
              <w:t xml:space="preserve">Run an Opportunity Simulator scenario</w:t>
            </w:r>
          </w:p>
        </w:tc>
        <w:tc>
          <w:tcPr>
            <w:tcW w:type="dxa" w:w="4100"/>
            <w:shd w:fill="F4F8FC" w:val="clear"/>
          </w:tcPr>
          <w:p>
            <w:r>
              <w:rPr>
                <w:b w:val="false"/>
                <w:bCs w:val="false"/>
                <w:color w:val="000000"/>
                <w:sz w:val="20"/>
                <w:szCs w:val="20"/>
              </w:rPr>
              <w:t xml:space="preserve">{revenue, fees, allocation, tax, lending, household_score}</w:t>
            </w:r>
          </w:p>
        </w:tc>
      </w:tr>
      <w:tr>
        <w:tc>
          <w:tcPr>
            <w:tcW w:type="dxa" w:w="1500"/>
          </w:tcPr>
          <w:p>
            <w:r>
              <w:rPr>
                <w:b w:val="false"/>
                <w:bCs w:val="false"/>
                <w:color w:val="000000"/>
                <w:sz w:val="20"/>
                <w:szCs w:val="20"/>
              </w:rPr>
              <w:t xml:space="preserve">POST /decisions/{id}</w:t>
            </w:r>
          </w:p>
        </w:tc>
        <w:tc>
          <w:tcPr>
            <w:tcW w:type="dxa" w:w="3800"/>
          </w:tcPr>
          <w:p>
            <w:r>
              <w:rPr>
                <w:b w:val="false"/>
                <w:bCs w:val="false"/>
                <w:color w:val="000000"/>
                <w:sz w:val="20"/>
                <w:szCs w:val="20"/>
              </w:rPr>
              <w:t xml:space="preserve">Advisor approve/reject</w:t>
            </w:r>
          </w:p>
        </w:tc>
        <w:tc>
          <w:tcPr>
            <w:tcW w:type="dxa" w:w="4100"/>
          </w:tcPr>
          <w:p>
            <w:r>
              <w:rPr>
                <w:b w:val="false"/>
                <w:bCs w:val="false"/>
                <w:color w:val="000000"/>
                <w:sz w:val="20"/>
                <w:szCs w:val="20"/>
              </w:rPr>
              <w:t xml:space="preserve">{ok, audit_id}</w:t>
            </w:r>
          </w:p>
        </w:tc>
      </w:tr>
      <w:tr>
        <w:tc>
          <w:tcPr>
            <w:tcW w:type="dxa" w:w="1500"/>
            <w:shd w:fill="F4F8FC" w:val="clear"/>
          </w:tcPr>
          <w:p>
            <w:r>
              <w:rPr>
                <w:b w:val="false"/>
                <w:bCs w:val="false"/>
                <w:color w:val="000000"/>
                <w:sz w:val="20"/>
                <w:szCs w:val="20"/>
              </w:rPr>
              <w:t xml:space="preserve">GET /settings</w:t>
            </w:r>
          </w:p>
        </w:tc>
        <w:tc>
          <w:tcPr>
            <w:tcW w:type="dxa" w:w="3800"/>
            <w:shd w:fill="F4F8FC" w:val="clear"/>
          </w:tcPr>
          <w:p>
            <w:r>
              <w:rPr>
                <w:b w:val="false"/>
                <w:bCs w:val="false"/>
                <w:color w:val="000000"/>
                <w:sz w:val="20"/>
                <w:szCs w:val="20"/>
              </w:rPr>
              <w:t xml:space="preserve">Non-sensitive settings</w:t>
            </w:r>
          </w:p>
        </w:tc>
        <w:tc>
          <w:tcPr>
            <w:tcW w:type="dxa" w:w="4100"/>
            <w:shd w:fill="F4F8FC" w:val="clear"/>
          </w:tcPr>
          <w:p>
            <w:r>
              <w:rPr>
                <w:b w:val="false"/>
                <w:bCs w:val="false"/>
                <w:color w:val="000000"/>
                <w:sz w:val="20"/>
                <w:szCs w:val="20"/>
              </w:rPr>
              <w:t xml:space="preserve">{providers, routing, mock_mode}</w:t>
            </w:r>
          </w:p>
        </w:tc>
      </w:tr>
      <w:tr>
        <w:tc>
          <w:tcPr>
            <w:tcW w:type="dxa" w:w="1500"/>
          </w:tcPr>
          <w:p>
            <w:r>
              <w:rPr>
                <w:b w:val="false"/>
                <w:bCs w:val="false"/>
                <w:color w:val="000000"/>
                <w:sz w:val="20"/>
                <w:szCs w:val="20"/>
              </w:rPr>
              <w:t xml:space="preserve">PUT /settings</w:t>
            </w:r>
          </w:p>
        </w:tc>
        <w:tc>
          <w:tcPr>
            <w:tcW w:type="dxa" w:w="3800"/>
          </w:tcPr>
          <w:p>
            <w:r>
              <w:rPr>
                <w:b w:val="false"/>
                <w:bCs w:val="false"/>
                <w:color w:val="000000"/>
                <w:sz w:val="20"/>
                <w:szCs w:val="20"/>
              </w:rPr>
              <w:t xml:space="preserve">Update settings (keys encrypted server-side)</w:t>
            </w:r>
          </w:p>
        </w:tc>
        <w:tc>
          <w:tcPr>
            <w:tcW w:type="dxa" w:w="4100"/>
          </w:tcPr>
          <w:p>
            <w:r>
              <w:rPr>
                <w:b w:val="false"/>
                <w:bCs w:val="false"/>
                <w:color w:val="000000"/>
                <w:sz w:val="20"/>
                <w:szCs w:val="20"/>
              </w:rPr>
              <w:t xml:space="preserve">{ok}</w:t>
            </w:r>
          </w:p>
        </w:tc>
      </w:tr>
      <w:tr>
        <w:tc>
          <w:tcPr>
            <w:tcW w:type="dxa" w:w="1500"/>
            <w:shd w:fill="F4F8FC" w:val="clear"/>
          </w:tcPr>
          <w:p>
            <w:r>
              <w:rPr>
                <w:b w:val="false"/>
                <w:bCs w:val="false"/>
                <w:color w:val="000000"/>
                <w:sz w:val="20"/>
                <w:szCs w:val="20"/>
              </w:rPr>
              <w:t xml:space="preserve">POST /settings/test/{provider}</w:t>
            </w:r>
          </w:p>
        </w:tc>
        <w:tc>
          <w:tcPr>
            <w:tcW w:type="dxa" w:w="3800"/>
            <w:shd w:fill="F4F8FC" w:val="clear"/>
          </w:tcPr>
          <w:p>
            <w:r>
              <w:rPr>
                <w:b w:val="false"/>
                <w:bCs w:val="false"/>
                <w:color w:val="000000"/>
                <w:sz w:val="20"/>
                <w:szCs w:val="20"/>
              </w:rPr>
              <w:t xml:space="preserve">Test a provider connection</w:t>
            </w:r>
          </w:p>
        </w:tc>
        <w:tc>
          <w:tcPr>
            <w:tcW w:type="dxa" w:w="4100"/>
            <w:shd w:fill="F4F8FC" w:val="clear"/>
          </w:tcPr>
          <w:p>
            <w:r>
              <w:rPr>
                <w:b w:val="false"/>
                <w:bCs w:val="false"/>
                <w:color w:val="000000"/>
                <w:sz w:val="20"/>
                <w:szCs w:val="20"/>
              </w:rPr>
              <w:t xml:space="preserve">{ok, latency_ms, model_reachable}</w:t>
            </w:r>
          </w:p>
        </w:tc>
      </w:tr>
      <w:tr>
        <w:tc>
          <w:tcPr>
            <w:tcW w:type="dxa" w:w="1500"/>
          </w:tcPr>
          <w:p>
            <w:r>
              <w:rPr>
                <w:b w:val="false"/>
                <w:bCs w:val="false"/>
                <w:color w:val="000000"/>
                <w:sz w:val="20"/>
                <w:szCs w:val="20"/>
              </w:rPr>
              <w:t xml:space="preserve">GET /audit</w:t>
            </w:r>
          </w:p>
        </w:tc>
        <w:tc>
          <w:tcPr>
            <w:tcW w:type="dxa" w:w="3800"/>
          </w:tcPr>
          <w:p>
            <w:r>
              <w:rPr>
                <w:b w:val="false"/>
                <w:bCs w:val="false"/>
                <w:color w:val="000000"/>
                <w:sz w:val="20"/>
                <w:szCs w:val="20"/>
              </w:rPr>
              <w:t xml:space="preserve">Audit log</w:t>
            </w:r>
          </w:p>
        </w:tc>
        <w:tc>
          <w:tcPr>
            <w:tcW w:type="dxa" w:w="4100"/>
          </w:tcPr>
          <w:p>
            <w:r>
              <w:rPr>
                <w:b w:val="false"/>
                <w:bCs w:val="false"/>
                <w:color w:val="000000"/>
                <w:sz w:val="20"/>
                <w:szCs w:val="20"/>
              </w:rPr>
              <w:t xml:space="preserve">{page, rows: [AuditRow]}</w:t>
            </w:r>
          </w:p>
        </w:tc>
      </w:tr>
      <w:tr>
        <w:tc>
          <w:tcPr>
            <w:tcW w:type="dxa" w:w="1500"/>
            <w:shd w:fill="F4F8FC" w:val="clear"/>
          </w:tcPr>
          <w:p>
            <w:r>
              <w:rPr>
                <w:b w:val="false"/>
                <w:bCs w:val="false"/>
                <w:color w:val="000000"/>
                <w:sz w:val="20"/>
                <w:szCs w:val="20"/>
              </w:rPr>
              <w:t xml:space="preserve">POST /audit/verify</w:t>
            </w:r>
          </w:p>
        </w:tc>
        <w:tc>
          <w:tcPr>
            <w:tcW w:type="dxa" w:w="3800"/>
            <w:shd w:fill="F4F8FC" w:val="clear"/>
          </w:tcPr>
          <w:p>
            <w:r>
              <w:rPr>
                <w:b w:val="false"/>
                <w:bCs w:val="false"/>
                <w:color w:val="000000"/>
                <w:sz w:val="20"/>
                <w:szCs w:val="20"/>
              </w:rPr>
              <w:t xml:space="preserve">Verify chain integrity</w:t>
            </w:r>
          </w:p>
        </w:tc>
        <w:tc>
          <w:tcPr>
            <w:tcW w:type="dxa" w:w="4100"/>
            <w:shd w:fill="F4F8FC" w:val="clear"/>
          </w:tcPr>
          <w:p>
            <w:r>
              <w:rPr>
                <w:b w:val="false"/>
                <w:bCs w:val="false"/>
                <w:color w:val="000000"/>
                <w:sz w:val="20"/>
                <w:szCs w:val="20"/>
              </w:rPr>
              <w:t xml:space="preserve">{ok, broken_at?}</w:t>
            </w:r>
          </w:p>
        </w:tc>
      </w:tr>
    </w:tbl>
    <w:p>
      <w:pPr>
        <w:spacing w:after="200"/>
      </w:pPr>
      <w:r>
        <w:t xml:space="preserve"/>
      </w:r>
    </w:p>
    <w:p>
      <w:pPr>
        <w:pStyle w:val="Heading2"/>
        <w:spacing w:after="140" w:before="280"/>
      </w:pPr>
      <w:r>
        <w:rPr>
          <w:b/>
          <w:bCs/>
          <w:color w:val="2E75B6"/>
          <w:sz w:val="26"/>
          <w:szCs w:val="26"/>
        </w:rPr>
        <w:t xml:space="preserve">9.2 Data Contracts</w:t>
      </w:r>
    </w:p>
    <w:p>
      <w:pPr>
        <w:spacing w:after="120"/>
      </w:pPr>
      <w:r>
        <w:rPr>
          <w:sz w:val="22"/>
          <w:szCs w:val="22"/>
        </w:rPr>
        <w:t xml:space="preserve">All response types are defined as Pydantic models in the backend and generated as TypeScript types for the frontend using datamodel-code-generator or a similar tool.</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class OpportunityRow(BaseModel):</w:t>
      </w:r>
      <w:r>
        <w:rPr>
          <w:rFonts w:ascii="Consolas" w:cs="Consolas" w:eastAsia="Consolas" w:hAnsi="Consolas"/>
          <w:sz w:val="20"/>
          <w:szCs w:val="20"/>
        </w:rPr>
        <w:br/>
        <w:t xml:space="preserve">    client_id: str</w:t>
      </w:r>
      <w:r>
        <w:rPr>
          <w:rFonts w:ascii="Consolas" w:cs="Consolas" w:eastAsia="Consolas" w:hAnsi="Consolas"/>
          <w:sz w:val="20"/>
          <w:szCs w:val="20"/>
        </w:rPr>
        <w:br/>
        <w:t xml:space="preserve">    rank: int | None</w:t>
      </w:r>
      <w:r>
        <w:rPr>
          <w:rFonts w:ascii="Consolas" w:cs="Consolas" w:eastAsia="Consolas" w:hAnsi="Consolas"/>
          <w:sz w:val="20"/>
          <w:szCs w:val="20"/>
        </w:rPr>
        <w:br/>
        <w:t xml:space="preserve">    watchlist_rank: int | None</w:t>
      </w:r>
      <w:r>
        <w:rPr>
          <w:rFonts w:ascii="Consolas" w:cs="Consolas" w:eastAsia="Consolas" w:hAnsi="Consolas"/>
          <w:sz w:val="20"/>
          <w:szCs w:val="20"/>
        </w:rPr>
        <w:br/>
        <w:t xml:space="preserve">    segment: str</w:t>
      </w:r>
      <w:r>
        <w:rPr>
          <w:rFonts w:ascii="Consolas" w:cs="Consolas" w:eastAsia="Consolas" w:hAnsi="Consolas"/>
          <w:sz w:val="20"/>
          <w:szCs w:val="20"/>
        </w:rPr>
        <w:br/>
        <w:t xml:space="preserve">    jurisdiction: str</w:t>
      </w:r>
      <w:r>
        <w:rPr>
          <w:rFonts w:ascii="Consolas" w:cs="Consolas" w:eastAsia="Consolas" w:hAnsi="Consolas"/>
          <w:sz w:val="20"/>
          <w:szCs w:val="20"/>
        </w:rPr>
        <w:br/>
        <w:t xml:space="preserve">    signal_regime: Literal['hub','lending_disclosure','consented_aggregation','silo']</w:t>
      </w:r>
      <w:r>
        <w:rPr>
          <w:rFonts w:ascii="Consolas" w:cs="Consolas" w:eastAsia="Consolas" w:hAnsi="Consolas"/>
          <w:sz w:val="20"/>
          <w:szCs w:val="20"/>
        </w:rPr>
        <w:br/>
        <w:t xml:space="preserve">    held_away_low: float</w:t>
      </w:r>
      <w:r>
        <w:rPr>
          <w:rFonts w:ascii="Consolas" w:cs="Consolas" w:eastAsia="Consolas" w:hAnsi="Consolas"/>
          <w:sz w:val="20"/>
          <w:szCs w:val="20"/>
        </w:rPr>
        <w:br/>
        <w:t xml:space="preserve">    held_away_mid: float</w:t>
      </w:r>
      <w:r>
        <w:rPr>
          <w:rFonts w:ascii="Consolas" w:cs="Consolas" w:eastAsia="Consolas" w:hAnsi="Consolas"/>
          <w:sz w:val="20"/>
          <w:szCs w:val="20"/>
        </w:rPr>
        <w:br/>
        <w:t xml:space="preserve">    held_away_high: float</w:t>
      </w:r>
      <w:r>
        <w:rPr>
          <w:rFonts w:ascii="Consolas" w:cs="Consolas" w:eastAsia="Consolas" w:hAnsi="Consolas"/>
          <w:sz w:val="20"/>
          <w:szCs w:val="20"/>
        </w:rPr>
        <w:br/>
        <w:t xml:space="preserve">    confidence: float          # 0..1</w:t>
      </w:r>
      <w:r>
        <w:rPr>
          <w:rFonts w:ascii="Consolas" w:cs="Consolas" w:eastAsia="Consolas" w:hAnsi="Consolas"/>
          <w:sz w:val="20"/>
          <w:szCs w:val="20"/>
        </w:rPr>
        <w:br/>
        <w:t xml:space="preserve">    decision: Literal['surface', 'abstain']</w:t>
      </w:r>
      <w:r>
        <w:rPr>
          <w:rFonts w:ascii="Consolas" w:cs="Consolas" w:eastAsia="Consolas" w:hAnsi="Consolas"/>
          <w:sz w:val="20"/>
          <w:szCs w:val="20"/>
        </w:rPr>
        <w:br/>
        <w:t xml:space="preserve">    reason: str</w:t>
      </w:r>
      <w:r>
        <w:rPr>
          <w:rFonts w:ascii="Consolas" w:cs="Consolas" w:eastAsia="Consolas" w:hAnsi="Consolas"/>
          <w:sz w:val="20"/>
          <w:szCs w:val="20"/>
        </w:rPr>
        <w:br/>
        <w:t xml:space="preserve">    life_event: str</w:t>
      </w:r>
      <w:r>
        <w:rPr>
          <w:rFonts w:ascii="Consolas" w:cs="Consolas" w:eastAsia="Consolas" w:hAnsi="Consolas"/>
          <w:sz w:val="20"/>
          <w:szCs w:val="20"/>
        </w:rPr>
        <w:br/>
        <w:t xml:space="preserve">    expected_net_flow: float | None    # None on watchlist</w:t>
      </w:r>
      <w:r>
        <w:rPr>
          <w:rFonts w:ascii="Consolas" w:cs="Consolas" w:eastAsia="Consolas" w:hAnsi="Consolas"/>
          <w:sz w:val="20"/>
          <w:szCs w:val="20"/>
        </w:rPr>
        <w:br/>
        <w:t xml:space="preserve">    consolidation_reason: str | None</w:t>
      </w:r>
      <w:r>
        <w:rPr>
          <w:rFonts w:ascii="Consolas" w:cs="Consolas" w:eastAsia="Consolas" w:hAnsi="Consolas"/>
          <w:sz w:val="20"/>
          <w:szCs w:val="20"/>
        </w:rPr>
        <w:br/>
        <w:t xml:space="preserve"/>
      </w:r>
      <w:r>
        <w:rPr>
          <w:rFonts w:ascii="Consolas" w:cs="Consolas" w:eastAsia="Consolas" w:hAnsi="Consolas"/>
          <w:sz w:val="20"/>
          <w:szCs w:val="20"/>
        </w:rPr>
        <w:br/>
        <w:t xml:space="preserve">class ComplianceCheck(BaseModel):</w:t>
      </w:r>
      <w:r>
        <w:rPr>
          <w:rFonts w:ascii="Consolas" w:cs="Consolas" w:eastAsia="Consolas" w:hAnsi="Consolas"/>
          <w:sz w:val="20"/>
          <w:szCs w:val="20"/>
        </w:rPr>
        <w:br/>
        <w:t xml:space="preserve">    name: str                  # grounding | suitability | reg_bi | jurisdiction | concentration</w:t>
      </w:r>
      <w:r>
        <w:rPr>
          <w:rFonts w:ascii="Consolas" w:cs="Consolas" w:eastAsia="Consolas" w:hAnsi="Consolas"/>
          <w:sz w:val="20"/>
          <w:szCs w:val="20"/>
        </w:rPr>
        <w:br/>
        <w:t xml:space="preserve">    verdict: Literal['pass', 'block', 'not_applicable']</w:t>
      </w:r>
      <w:r>
        <w:rPr>
          <w:rFonts w:ascii="Consolas" w:cs="Consolas" w:eastAsia="Consolas" w:hAnsi="Consolas"/>
          <w:sz w:val="20"/>
          <w:szCs w:val="20"/>
        </w:rPr>
        <w:br/>
        <w:t xml:space="preserve">    rationale: str</w:t>
      </w:r>
      <w:r>
        <w:rPr>
          <w:rFonts w:ascii="Consolas" w:cs="Consolas" w:eastAsia="Consolas" w:hAnsi="Consolas"/>
          <w:sz w:val="20"/>
          <w:szCs w:val="20"/>
        </w:rPr>
        <w:br/>
        <w:t xml:space="preserve"/>
      </w:r>
      <w:r>
        <w:rPr>
          <w:rFonts w:ascii="Consolas" w:cs="Consolas" w:eastAsia="Consolas" w:hAnsi="Consolas"/>
          <w:sz w:val="20"/>
          <w:szCs w:val="20"/>
        </w:rPr>
        <w:br/>
        <w:t xml:space="preserve">class Play(BaseModel):</w:t>
      </w:r>
      <w:r>
        <w:rPr>
          <w:rFonts w:ascii="Consolas" w:cs="Consolas" w:eastAsia="Consolas" w:hAnsi="Consolas"/>
          <w:sz w:val="20"/>
          <w:szCs w:val="20"/>
        </w:rPr>
        <w:br/>
        <w:t xml:space="preserve">    headline: str</w:t>
      </w:r>
      <w:r>
        <w:rPr>
          <w:rFonts w:ascii="Consolas" w:cs="Consolas" w:eastAsia="Consolas" w:hAnsi="Consolas"/>
          <w:sz w:val="20"/>
          <w:szCs w:val="20"/>
        </w:rPr>
        <w:br/>
        <w:t xml:space="preserve">    body: str                  # markdown with [ev:signal_id] citation markers</w:t>
      </w:r>
      <w:r>
        <w:rPr>
          <w:rFonts w:ascii="Consolas" w:cs="Consolas" w:eastAsia="Consolas" w:hAnsi="Consolas"/>
          <w:sz w:val="20"/>
          <w:szCs w:val="20"/>
        </w:rPr>
        <w:br/>
        <w:t xml:space="preserve">    value_proposition: str     # sbloc | cross_border | tax | estate | alternatives | ...</w:t>
      </w:r>
      <w:r>
        <w:rPr>
          <w:rFonts w:ascii="Consolas" w:cs="Consolas" w:eastAsia="Consolas" w:hAnsi="Consolas"/>
          <w:sz w:val="20"/>
          <w:szCs w:val="20"/>
        </w:rPr>
        <w:br/>
        <w:t xml:space="preserve">    citations: list[Citation]</w:t>
      </w:r>
      <w:r>
        <w:rPr>
          <w:rFonts w:ascii="Consolas" w:cs="Consolas" w:eastAsia="Consolas" w:hAnsi="Consolas"/>
          <w:sz w:val="20"/>
          <w:szCs w:val="20"/>
        </w:rPr>
        <w:br/>
        <w:t xml:space="preserve">    suggested_outreach: str    # draft email/call script</w:t>
      </w:r>
      <w:r>
        <w:rPr>
          <w:rFonts w:ascii="Consolas" w:cs="Consolas" w:eastAsia="Consolas" w:hAnsi="Consolas"/>
          <w:sz w:val="20"/>
          <w:szCs w:val="20"/>
        </w:rPr>
        <w:br/>
        <w:t xml:space="preserve"/>
      </w:r>
      <w:r>
        <w:rPr>
          <w:rFonts w:ascii="Consolas" w:cs="Consolas" w:eastAsia="Consolas" w:hAnsi="Consolas"/>
          <w:sz w:val="20"/>
          <w:szCs w:val="20"/>
        </w:rPr>
        <w:br/>
        <w:t xml:space="preserve">class ProviderSettings(BaseModel):</w:t>
      </w:r>
      <w:r>
        <w:rPr>
          <w:rFonts w:ascii="Consolas" w:cs="Consolas" w:eastAsia="Consolas" w:hAnsi="Consolas"/>
          <w:sz w:val="20"/>
          <w:szCs w:val="20"/>
        </w:rPr>
        <w:br/>
        <w:t xml:space="preserve">    provider: Literal['anthropic', 'google', 'bedrock', 'mock']</w:t>
      </w:r>
      <w:r>
        <w:rPr>
          <w:rFonts w:ascii="Consolas" w:cs="Consolas" w:eastAsia="Consolas" w:hAnsi="Consolas"/>
          <w:sz w:val="20"/>
          <w:szCs w:val="20"/>
        </w:rPr>
        <w:br/>
        <w:t xml:space="preserve">    model: str</w:t>
      </w:r>
      <w:r>
        <w:rPr>
          <w:rFonts w:ascii="Consolas" w:cs="Consolas" w:eastAsia="Consolas" w:hAnsi="Consolas"/>
          <w:sz w:val="20"/>
          <w:szCs w:val="20"/>
        </w:rPr>
        <w:br/>
        <w:t xml:space="preserve">    base_url: str | None</w:t>
      </w:r>
      <w:r>
        <w:rPr>
          <w:rFonts w:ascii="Consolas" w:cs="Consolas" w:eastAsia="Consolas" w:hAnsi="Consolas"/>
          <w:sz w:val="20"/>
          <w:szCs w:val="20"/>
        </w:rPr>
        <w:br/>
        <w:t xml:space="preserve">    aws_region: str | None     # bedrock only</w:t>
      </w:r>
      <w:r>
        <w:rPr>
          <w:rFonts w:ascii="Consolas" w:cs="Consolas" w:eastAsia="Consolas" w:hAnsi="Consolas"/>
          <w:sz w:val="20"/>
          <w:szCs w:val="20"/>
        </w:rPr>
        <w:br/>
        <w:t xml:space="preserve">    # NB: api_key never included in any response object; write-only in PUT</w:t>
      </w:r>
    </w:p>
    <w:p>
      <w:r>
        <w:br w:type="page"/>
      </w:r>
    </w:p>
    <w:p>
      <w:pPr>
        <w:pStyle w:val="Heading1"/>
        <w:spacing w:after="180" w:before="360"/>
      </w:pPr>
      <w:r>
        <w:rPr>
          <w:b/>
          <w:bCs/>
          <w:color w:val="1F4E79"/>
          <w:sz w:val="32"/>
          <w:szCs w:val="32"/>
        </w:rPr>
        <w:t xml:space="preserve">10. Data Model</w:t>
      </w:r>
    </w:p>
    <w:p>
      <w:pPr>
        <w:pStyle w:val="Heading2"/>
        <w:spacing w:after="140" w:before="280"/>
      </w:pPr>
      <w:r>
        <w:rPr>
          <w:b/>
          <w:bCs/>
          <w:color w:val="2E75B6"/>
          <w:sz w:val="26"/>
          <w:szCs w:val="26"/>
        </w:rPr>
        <w:t xml:space="preserve">10.1 Persistence Schema</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clients (</w:t>
      </w:r>
      <w:r>
        <w:rPr>
          <w:rFonts w:ascii="Consolas" w:cs="Consolas" w:eastAsia="Consolas" w:hAnsi="Consolas"/>
          <w:sz w:val="20"/>
          <w:szCs w:val="20"/>
        </w:rPr>
        <w:br/>
        <w:t xml:space="preserve">    client_id TEXT PRIMARY KEY,</w:t>
      </w:r>
      <w:r>
        <w:rPr>
          <w:rFonts w:ascii="Consolas" w:cs="Consolas" w:eastAsia="Consolas" w:hAnsi="Consolas"/>
          <w:sz w:val="20"/>
          <w:szCs w:val="20"/>
        </w:rPr>
        <w:br/>
        <w:t xml:space="preserve">    segment TEXT,</w:t>
      </w:r>
      <w:r>
        <w:rPr>
          <w:rFonts w:ascii="Consolas" w:cs="Consolas" w:eastAsia="Consolas" w:hAnsi="Consolas"/>
          <w:sz w:val="20"/>
          <w:szCs w:val="20"/>
        </w:rPr>
        <w:br/>
        <w:t xml:space="preserve">    jurisdiction TEXT,</w:t>
      </w:r>
      <w:r>
        <w:rPr>
          <w:rFonts w:ascii="Consolas" w:cs="Consolas" w:eastAsia="Consolas" w:hAnsi="Consolas"/>
          <w:sz w:val="20"/>
          <w:szCs w:val="20"/>
        </w:rPr>
        <w:br/>
        <w:t xml:space="preserve">    age INTEGER,</w:t>
      </w:r>
      <w:r>
        <w:rPr>
          <w:rFonts w:ascii="Consolas" w:cs="Consolas" w:eastAsia="Consolas" w:hAnsi="Consolas"/>
          <w:sz w:val="20"/>
          <w:szCs w:val="20"/>
        </w:rPr>
        <w:br/>
        <w:t xml:space="preserve">    tenure_years INTEGER,</w:t>
      </w:r>
      <w:r>
        <w:rPr>
          <w:rFonts w:ascii="Consolas" w:cs="Consolas" w:eastAsia="Consolas" w:hAnsi="Consolas"/>
          <w:sz w:val="20"/>
          <w:szCs w:val="20"/>
        </w:rPr>
        <w:br/>
        <w:t xml:space="preserve">    total_investable_wealth REAL,</w:t>
      </w:r>
      <w:r>
        <w:rPr>
          <w:rFonts w:ascii="Consolas" w:cs="Consolas" w:eastAsia="Consolas" w:hAnsi="Consolas"/>
          <w:sz w:val="20"/>
          <w:szCs w:val="20"/>
        </w:rPr>
        <w:br/>
        <w:t xml:space="preserve">    citi_aum REAL,</w:t>
      </w:r>
      <w:r>
        <w:rPr>
          <w:rFonts w:ascii="Consolas" w:cs="Consolas" w:eastAsia="Consolas" w:hAnsi="Consolas"/>
          <w:sz w:val="20"/>
          <w:szCs w:val="20"/>
        </w:rPr>
        <w:br/>
        <w:t xml:space="preserve">    citi_wallet_share REAL,</w:t>
      </w:r>
      <w:r>
        <w:rPr>
          <w:rFonts w:ascii="Consolas" w:cs="Consolas" w:eastAsia="Consolas" w:hAnsi="Consolas"/>
          <w:sz w:val="20"/>
          <w:szCs w:val="20"/>
        </w:rPr>
        <w:br/>
        <w:t xml:space="preserve">    held_away_true REAL,          -- ground truth from generator, hidden from UI</w:t>
      </w:r>
      <w:r>
        <w:rPr>
          <w:rFonts w:ascii="Consolas" w:cs="Consolas" w:eastAsia="Consolas" w:hAnsi="Consolas"/>
          <w:sz w:val="20"/>
          <w:szCs w:val="20"/>
        </w:rPr>
        <w:br/>
        <w:t xml:space="preserve">    external_blended_yield REAL,</w:t>
      </w:r>
      <w:r>
        <w:rPr>
          <w:rFonts w:ascii="Consolas" w:cs="Consolas" w:eastAsia="Consolas" w:hAnsi="Consolas"/>
          <w:sz w:val="20"/>
          <w:szCs w:val="20"/>
        </w:rPr>
        <w:br/>
        <w:t xml:space="preserve">    signal_regime TEXT,</w:t>
      </w:r>
      <w:r>
        <w:rPr>
          <w:rFonts w:ascii="Consolas" w:cs="Consolas" w:eastAsia="Consolas" w:hAnsi="Consolas"/>
          <w:sz w:val="20"/>
          <w:szCs w:val="20"/>
        </w:rPr>
        <w:br/>
        <w:t xml:space="preserve">    prior_citi_relationship INTEGER,</w:t>
      </w:r>
      <w:r>
        <w:rPr>
          <w:rFonts w:ascii="Consolas" w:cs="Consolas" w:eastAsia="Consolas" w:hAnsi="Consolas"/>
          <w:sz w:val="20"/>
          <w:szCs w:val="20"/>
        </w:rPr>
        <w:br/>
        <w:t xml:space="preserve">    life_event TEXT,</w:t>
      </w:r>
      <w:r>
        <w:rPr>
          <w:rFonts w:ascii="Consolas" w:cs="Consolas" w:eastAsia="Consolas" w:hAnsi="Consolas"/>
          <w:sz w:val="20"/>
          <w:szCs w:val="20"/>
        </w:rPr>
        <w:br/>
        <w:t xml:space="preserve">    relationship_strength REAL,</w:t>
      </w:r>
      <w:r>
        <w:rPr>
          <w:rFonts w:ascii="Consolas" w:cs="Consolas" w:eastAsia="Consolas" w:hAnsi="Consolas"/>
          <w:sz w:val="20"/>
          <w:szCs w:val="20"/>
        </w:rPr>
        <w:br/>
        <w:t xml:space="preserve">    client_engagement REAL,</w:t>
      </w:r>
      <w:r>
        <w:rPr>
          <w:rFonts w:ascii="Consolas" w:cs="Consolas" w:eastAsia="Consolas" w:hAnsi="Consolas"/>
          <w:sz w:val="20"/>
          <w:szCs w:val="20"/>
        </w:rPr>
        <w:br/>
        <w:t xml:space="preserve">    advisor_capacity REAL,</w:t>
      </w:r>
      <w:r>
        <w:rPr>
          <w:rFonts w:ascii="Consolas" w:cs="Consolas" w:eastAsia="Consolas" w:hAnsi="Consolas"/>
          <w:sz w:val="20"/>
          <w:szCs w:val="20"/>
        </w:rPr>
        <w:br/>
        <w:t xml:space="preserve">    primary_external_custodian TEXT,</w:t>
      </w:r>
      <w:r>
        <w:rPr>
          <w:rFonts w:ascii="Consolas" w:cs="Consolas" w:eastAsia="Consolas" w:hAnsi="Consolas"/>
          <w:sz w:val="20"/>
          <w:szCs w:val="20"/>
        </w:rPr>
        <w:br/>
        <w:t xml:space="preserve">    household_id TEXT,</w:t>
      </w:r>
      <w:r>
        <w:rPr>
          <w:rFonts w:ascii="Consolas" w:cs="Consolas" w:eastAsia="Consolas" w:hAnsi="Consolas"/>
          <w:sz w:val="20"/>
          <w:szCs w:val="20"/>
        </w:rPr>
        <w:br/>
        <w:t xml:space="preserve">    household_role TEXT</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signals (</w:t>
      </w:r>
      <w:r>
        <w:rPr>
          <w:rFonts w:ascii="Consolas" w:cs="Consolas" w:eastAsia="Consolas" w:hAnsi="Consolas"/>
          <w:sz w:val="20"/>
          <w:szCs w:val="20"/>
        </w:rPr>
        <w:br/>
        <w:t xml:space="preserve">    signal_id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signal_type TEXT,</w:t>
      </w:r>
      <w:r>
        <w:rPr>
          <w:rFonts w:ascii="Consolas" w:cs="Consolas" w:eastAsia="Consolas" w:hAnsi="Consolas"/>
          <w:sz w:val="20"/>
          <w:szCs w:val="20"/>
        </w:rPr>
        <w:br/>
        <w:t xml:space="preserve">    specificity REAL,</w:t>
      </w:r>
      <w:r>
        <w:rPr>
          <w:rFonts w:ascii="Consolas" w:cs="Consolas" w:eastAsia="Consolas" w:hAnsi="Consolas"/>
          <w:sz w:val="20"/>
          <w:szCs w:val="20"/>
        </w:rPr>
        <w:br/>
        <w:t xml:space="preserve">    raw_amount REAL,</w:t>
      </w:r>
      <w:r>
        <w:rPr>
          <w:rFonts w:ascii="Consolas" w:cs="Consolas" w:eastAsia="Consolas" w:hAnsi="Consolas"/>
          <w:sz w:val="20"/>
          <w:szCs w:val="20"/>
        </w:rPr>
        <w:br/>
        <w:t xml:space="preserve">    implied_size REAL,</w:t>
      </w:r>
      <w:r>
        <w:rPr>
          <w:rFonts w:ascii="Consolas" w:cs="Consolas" w:eastAsia="Consolas" w:hAnsi="Consolas"/>
          <w:sz w:val="20"/>
          <w:szCs w:val="20"/>
        </w:rPr>
        <w:br/>
        <w:t xml:space="preserve">    detail TEXT</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transactions (</w:t>
      </w:r>
      <w:r>
        <w:rPr>
          <w:rFonts w:ascii="Consolas" w:cs="Consolas" w:eastAsia="Consolas" w:hAnsi="Consolas"/>
          <w:sz w:val="20"/>
          <w:szCs w:val="20"/>
        </w:rPr>
        <w:br/>
        <w:t xml:space="preserve">    tx_id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month INTEGER,</w:t>
      </w:r>
      <w:r>
        <w:rPr>
          <w:rFonts w:ascii="Consolas" w:cs="Consolas" w:eastAsia="Consolas" w:hAnsi="Consolas"/>
          <w:sz w:val="20"/>
          <w:szCs w:val="20"/>
        </w:rPr>
        <w:br/>
        <w:t xml:space="preserve">    kind TEXT,</w:t>
      </w:r>
      <w:r>
        <w:rPr>
          <w:rFonts w:ascii="Consolas" w:cs="Consolas" w:eastAsia="Consolas" w:hAnsi="Consolas"/>
          <w:sz w:val="20"/>
          <w:szCs w:val="20"/>
        </w:rPr>
        <w:br/>
        <w:t xml:space="preserve">    amount REAL,</w:t>
      </w:r>
      <w:r>
        <w:rPr>
          <w:rFonts w:ascii="Consolas" w:cs="Consolas" w:eastAsia="Consolas" w:hAnsi="Consolas"/>
          <w:sz w:val="20"/>
          <w:szCs w:val="20"/>
        </w:rPr>
        <w:br/>
        <w:t xml:space="preserve">    description TEXT,</w:t>
      </w:r>
      <w:r>
        <w:rPr>
          <w:rFonts w:ascii="Consolas" w:cs="Consolas" w:eastAsia="Consolas" w:hAnsi="Consolas"/>
          <w:sz w:val="20"/>
          <w:szCs w:val="20"/>
        </w:rPr>
        <w:br/>
        <w:t xml:space="preserve">    is_signal INTEGER</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inferences (</w:t>
      </w:r>
      <w:r>
        <w:rPr>
          <w:rFonts w:ascii="Consolas" w:cs="Consolas" w:eastAsia="Consolas" w:hAnsi="Consolas"/>
          <w:sz w:val="20"/>
          <w:szCs w:val="20"/>
        </w:rPr>
        <w:br/>
        <w:t xml:space="preserve">    client_id TEXT PRIMARY KEY REFERENCES clients,</w:t>
      </w:r>
      <w:r>
        <w:rPr>
          <w:rFonts w:ascii="Consolas" w:cs="Consolas" w:eastAsia="Consolas" w:hAnsi="Consolas"/>
          <w:sz w:val="20"/>
          <w:szCs w:val="20"/>
        </w:rPr>
        <w:br/>
        <w:t xml:space="preserve">    pred_probability REAL,</w:t>
      </w:r>
      <w:r>
        <w:rPr>
          <w:rFonts w:ascii="Consolas" w:cs="Consolas" w:eastAsia="Consolas" w:hAnsi="Consolas"/>
          <w:sz w:val="20"/>
          <w:szCs w:val="20"/>
        </w:rPr>
        <w:br/>
        <w:t xml:space="preserve">    pred_size_low REAL,</w:t>
      </w:r>
      <w:r>
        <w:rPr>
          <w:rFonts w:ascii="Consolas" w:cs="Consolas" w:eastAsia="Consolas" w:hAnsi="Consolas"/>
          <w:sz w:val="20"/>
          <w:szCs w:val="20"/>
        </w:rPr>
        <w:br/>
        <w:t xml:space="preserve">    pred_size_mid REAL,</w:t>
      </w:r>
      <w:r>
        <w:rPr>
          <w:rFonts w:ascii="Consolas" w:cs="Consolas" w:eastAsia="Consolas" w:hAnsi="Consolas"/>
          <w:sz w:val="20"/>
          <w:szCs w:val="20"/>
        </w:rPr>
        <w:br/>
        <w:t xml:space="preserve">    pred_size_high REAL,</w:t>
      </w:r>
      <w:r>
        <w:rPr>
          <w:rFonts w:ascii="Consolas" w:cs="Consolas" w:eastAsia="Consolas" w:hAnsi="Consolas"/>
          <w:sz w:val="20"/>
          <w:szCs w:val="20"/>
        </w:rPr>
        <w:br/>
        <w:t xml:space="preserve">    decision TEXT,</w:t>
      </w:r>
      <w:r>
        <w:rPr>
          <w:rFonts w:ascii="Consolas" w:cs="Consolas" w:eastAsia="Consolas" w:hAnsi="Consolas"/>
          <w:sz w:val="20"/>
          <w:szCs w:val="20"/>
        </w:rPr>
        <w:br/>
        <w:t xml:space="preserve">    reason TEXT,</w:t>
      </w:r>
      <w:r>
        <w:rPr>
          <w:rFonts w:ascii="Consolas" w:cs="Consolas" w:eastAsia="Consolas" w:hAnsi="Consolas"/>
          <w:sz w:val="20"/>
          <w:szCs w:val="20"/>
        </w:rPr>
        <w:br/>
        <w:t xml:space="preserve">    computed_at DATETIME</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recommendations (</w:t>
      </w:r>
      <w:r>
        <w:rPr>
          <w:rFonts w:ascii="Consolas" w:cs="Consolas" w:eastAsia="Consolas" w:hAnsi="Consolas"/>
          <w:sz w:val="20"/>
          <w:szCs w:val="20"/>
        </w:rPr>
        <w:br/>
        <w:t xml:space="preserve">    rec_id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play_json TEXT,</w:t>
      </w:r>
      <w:r>
        <w:rPr>
          <w:rFonts w:ascii="Consolas" w:cs="Consolas" w:eastAsia="Consolas" w:hAnsi="Consolas"/>
          <w:sz w:val="20"/>
          <w:szCs w:val="20"/>
        </w:rPr>
        <w:br/>
        <w:t xml:space="preserve">    compliance_json TEXT,</w:t>
      </w:r>
      <w:r>
        <w:rPr>
          <w:rFonts w:ascii="Consolas" w:cs="Consolas" w:eastAsia="Consolas" w:hAnsi="Consolas"/>
          <w:sz w:val="20"/>
          <w:szCs w:val="20"/>
        </w:rPr>
        <w:br/>
        <w:t xml:space="preserve">    status TEXT,     -- draft | approved | rejected | blocked</w:t>
      </w:r>
      <w:r>
        <w:rPr>
          <w:rFonts w:ascii="Consolas" w:cs="Consolas" w:eastAsia="Consolas" w:hAnsi="Consolas"/>
          <w:sz w:val="20"/>
          <w:szCs w:val="20"/>
        </w:rPr>
        <w:br/>
        <w:t xml:space="preserve">    rejection_reason TEXT,</w:t>
      </w:r>
      <w:r>
        <w:rPr>
          <w:rFonts w:ascii="Consolas" w:cs="Consolas" w:eastAsia="Consolas" w:hAnsi="Consolas"/>
          <w:sz w:val="20"/>
          <w:szCs w:val="20"/>
        </w:rPr>
        <w:br/>
        <w:t xml:space="preserve">    created_at DATETIME,</w:t>
      </w:r>
      <w:r>
        <w:rPr>
          <w:rFonts w:ascii="Consolas" w:cs="Consolas" w:eastAsia="Consolas" w:hAnsi="Consolas"/>
          <w:sz w:val="20"/>
          <w:szCs w:val="20"/>
        </w:rPr>
        <w:br/>
        <w:t xml:space="preserve">    decided_at DATETIME</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settings (</w:t>
      </w:r>
      <w:r>
        <w:rPr>
          <w:rFonts w:ascii="Consolas" w:cs="Consolas" w:eastAsia="Consolas" w:hAnsi="Consolas"/>
          <w:sz w:val="20"/>
          <w:szCs w:val="20"/>
        </w:rPr>
        <w:br/>
        <w:t xml:space="preserve">    key TEXT PRIMARY KEY,</w:t>
      </w:r>
      <w:r>
        <w:rPr>
          <w:rFonts w:ascii="Consolas" w:cs="Consolas" w:eastAsia="Consolas" w:hAnsi="Consolas"/>
          <w:sz w:val="20"/>
          <w:szCs w:val="20"/>
        </w:rPr>
        <w:br/>
        <w:t xml:space="preserve">    value TEXT,       -- Fernet-encrypted for secret keys, plaintext for non-secret</w:t>
      </w:r>
      <w:r>
        <w:rPr>
          <w:rFonts w:ascii="Consolas" w:cs="Consolas" w:eastAsia="Consolas" w:hAnsi="Consolas"/>
          <w:sz w:val="20"/>
          <w:szCs w:val="20"/>
        </w:rPr>
        <w:br/>
        <w:t xml:space="preserve">    is_secret INTEGER</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audit_log (</w:t>
      </w:r>
      <w:r>
        <w:rPr>
          <w:rFonts w:ascii="Consolas" w:cs="Consolas" w:eastAsia="Consolas" w:hAnsi="Consolas"/>
          <w:sz w:val="20"/>
          <w:szCs w:val="20"/>
        </w:rPr>
        <w:br/>
        <w:t xml:space="preserve">    seq INTEGER PRIMARY KEY AUTOINCREMENT,</w:t>
      </w:r>
      <w:r>
        <w:rPr>
          <w:rFonts w:ascii="Consolas" w:cs="Consolas" w:eastAsia="Consolas" w:hAnsi="Consolas"/>
          <w:sz w:val="20"/>
          <w:szCs w:val="20"/>
        </w:rPr>
        <w:br/>
        <w:t xml:space="preserve">    ts DATETIME NOT NULL,</w:t>
      </w:r>
      <w:r>
        <w:rPr>
          <w:rFonts w:ascii="Consolas" w:cs="Consolas" w:eastAsia="Consolas" w:hAnsi="Consolas"/>
          <w:sz w:val="20"/>
          <w:szCs w:val="20"/>
        </w:rPr>
        <w:br/>
        <w:t xml:space="preserve">    actor TEXT NOT NULL,</w:t>
      </w:r>
      <w:r>
        <w:rPr>
          <w:rFonts w:ascii="Consolas" w:cs="Consolas" w:eastAsia="Consolas" w:hAnsi="Consolas"/>
          <w:sz w:val="20"/>
          <w:szCs w:val="20"/>
        </w:rPr>
        <w:br/>
        <w:t xml:space="preserve">    action TEXT NOT NULL,</w:t>
      </w:r>
      <w:r>
        <w:rPr>
          <w:rFonts w:ascii="Consolas" w:cs="Consolas" w:eastAsia="Consolas" w:hAnsi="Consolas"/>
          <w:sz w:val="20"/>
          <w:szCs w:val="20"/>
        </w:rPr>
        <w:br/>
        <w:t xml:space="preserve">    client_id TEXT,</w:t>
      </w:r>
      <w:r>
        <w:rPr>
          <w:rFonts w:ascii="Consolas" w:cs="Consolas" w:eastAsia="Consolas" w:hAnsi="Consolas"/>
          <w:sz w:val="20"/>
          <w:szCs w:val="20"/>
        </w:rPr>
        <w:br/>
        <w:t xml:space="preserve">    payload TEXT,     -- JSON</w:t>
      </w:r>
      <w:r>
        <w:rPr>
          <w:rFonts w:ascii="Consolas" w:cs="Consolas" w:eastAsia="Consolas" w:hAnsi="Consolas"/>
          <w:sz w:val="20"/>
          <w:szCs w:val="20"/>
        </w:rPr>
        <w:br/>
        <w:t xml:space="preserve">    prev_hash TEXT,</w:t>
      </w:r>
      <w:r>
        <w:rPr>
          <w:rFonts w:ascii="Consolas" w:cs="Consolas" w:eastAsia="Consolas" w:hAnsi="Consolas"/>
          <w:sz w:val="20"/>
          <w:szCs w:val="20"/>
        </w:rPr>
        <w:br/>
        <w:t xml:space="preserve">    this_hash TEXT NOT NULL</w:t>
      </w:r>
      <w:r>
        <w:rPr>
          <w:rFonts w:ascii="Consolas" w:cs="Consolas" w:eastAsia="Consolas" w:hAnsi="Consolas"/>
          <w:sz w:val="20"/>
          <w:szCs w:val="20"/>
        </w:rPr>
        <w:br/>
        <w:t xml:space="preserve">)</w:t>
      </w:r>
    </w:p>
    <w:p>
      <w:pPr>
        <w:pStyle w:val="Heading2"/>
        <w:spacing w:after="140" w:before="280"/>
      </w:pPr>
      <w:r>
        <w:rPr>
          <w:b/>
          <w:bCs/>
          <w:color w:val="2E75B6"/>
          <w:sz w:val="26"/>
          <w:szCs w:val="26"/>
        </w:rPr>
        <w:t xml:space="preserve">10.2 Ingest</w:t>
      </w:r>
    </w:p>
    <w:p>
      <w:pPr>
        <w:spacing w:after="120"/>
      </w:pPr>
      <w:r>
        <w:rPr>
          <w:sz w:val="22"/>
          <w:szCs w:val="22"/>
        </w:rPr>
        <w:t xml:space="preserve">`make seed` runs `python -m app.services.ingest data/seed/*.csv` which reads the generator's CSV outputs into the SQLite tables above and pre-computes inferences. Ingest is idempotent — re-running truncates and reloads.</w:t>
      </w:r>
    </w:p>
    <w:p>
      <w:r>
        <w:br w:type="page"/>
      </w:r>
    </w:p>
    <w:p>
      <w:pPr>
        <w:pStyle w:val="Heading1"/>
        <w:spacing w:after="180" w:before="360"/>
      </w:pPr>
      <w:r>
        <w:rPr>
          <w:b/>
          <w:bCs/>
          <w:color w:val="1F4E79"/>
          <w:sz w:val="32"/>
          <w:szCs w:val="32"/>
        </w:rPr>
        <w:t xml:space="preserve">11. Opportunity Simulator</w:t>
      </w:r>
    </w:p>
    <w:p>
      <w:pPr>
        <w:pStyle w:val="Heading2"/>
        <w:spacing w:after="140" w:before="280"/>
      </w:pPr>
      <w:r>
        <w:rPr>
          <w:b/>
          <w:bCs/>
          <w:color w:val="2E75B6"/>
          <w:sz w:val="26"/>
          <w:szCs w:val="26"/>
        </w:rPr>
        <w:t xml:space="preserve">11.1 Purpose</w:t>
      </w:r>
    </w:p>
    <w:p>
      <w:pPr>
        <w:spacing w:after="120"/>
      </w:pPr>
      <w:r>
        <w:rPr>
          <w:sz w:val="22"/>
          <w:szCs w:val="22"/>
        </w:rPr>
        <w:t xml:space="preserve">The Opportunity Simulator is Gravity's decision-intelligence layer. It answers "what happens if this client consolidates X%?" with a structured, side-by-side projection across revenue, fees, tax implications, portfolio allocation, lending eligibility, and household relationship score. This is the demo's memorable moment.</w:t>
      </w:r>
    </w:p>
    <w:p>
      <w:pPr>
        <w:pStyle w:val="Heading2"/>
        <w:spacing w:after="140" w:before="280"/>
      </w:pPr>
      <w:r>
        <w:rPr>
          <w:b/>
          <w:bCs/>
          <w:color w:val="2E75B6"/>
          <w:sz w:val="26"/>
          <w:szCs w:val="26"/>
        </w:rPr>
        <w:t xml:space="preserve">11.2 Inputs</w:t>
      </w:r>
    </w:p>
    <w:p>
      <w:pPr>
        <w:pStyle w:val="ListParagraph"/>
        <w:numPr>
          <w:ilvl w:val="0"/>
          <w:numId w:val="2"/>
        </w:numPr>
        <w:spacing w:after="60"/>
      </w:pPr>
      <w:r>
        <w:rPr>
          <w:sz w:val="22"/>
          <w:szCs w:val="22"/>
        </w:rPr>
        <w:t xml:space="preserve">Client ID (from Client Profile page).</w:t>
      </w:r>
    </w:p>
    <w:p>
      <w:pPr>
        <w:pStyle w:val="ListParagraph"/>
        <w:numPr>
          <w:ilvl w:val="0"/>
          <w:numId w:val="2"/>
        </w:numPr>
        <w:spacing w:after="60"/>
      </w:pPr>
      <w:r>
        <w:rPr>
          <w:sz w:val="22"/>
          <w:szCs w:val="22"/>
        </w:rPr>
        <w:t xml:space="preserve">Consolidation percentage slider (0-100%, default: pred_size_mid mapped to a suggested %).</w:t>
      </w:r>
    </w:p>
    <w:p>
      <w:pPr>
        <w:pStyle w:val="ListParagraph"/>
        <w:numPr>
          <w:ilvl w:val="0"/>
          <w:numId w:val="2"/>
        </w:numPr>
        <w:spacing w:after="60"/>
      </w:pPr>
      <w:r>
        <w:rPr>
          <w:sz w:val="22"/>
          <w:szCs w:val="22"/>
        </w:rPr>
        <w:t xml:space="preserve">Target Citi product mix (auto-suggested by regime + life event, editable).</w:t>
      </w:r>
    </w:p>
    <w:p>
      <w:pPr>
        <w:pStyle w:val="ListParagraph"/>
        <w:numPr>
          <w:ilvl w:val="0"/>
          <w:numId w:val="2"/>
        </w:numPr>
        <w:spacing w:after="60"/>
      </w:pPr>
      <w:r>
        <w:rPr>
          <w:sz w:val="22"/>
          <w:szCs w:val="22"/>
        </w:rPr>
        <w:t xml:space="preserve">Time horizon (1 / 3 / 5 years, default 3).</w:t>
      </w:r>
    </w:p>
    <w:p>
      <w:pPr>
        <w:pStyle w:val="Heading2"/>
        <w:spacing w:after="140" w:before="280"/>
      </w:pPr>
      <w:r>
        <w:rPr>
          <w:b/>
          <w:bCs/>
          <w:color w:val="2E75B6"/>
          <w:sz w:val="26"/>
          <w:szCs w:val="26"/>
        </w:rPr>
        <w:t xml:space="preserve">11.3 Outputs</w:t>
      </w:r>
    </w:p>
    <w:p>
      <w:pPr>
        <w:pStyle w:val="ListParagraph"/>
        <w:numPr>
          <w:ilvl w:val="0"/>
          <w:numId w:val="2"/>
        </w:numPr>
        <w:spacing w:after="60"/>
      </w:pPr>
      <w:r>
        <w:rPr>
          <w:sz w:val="22"/>
          <w:szCs w:val="22"/>
        </w:rPr>
        <w:t xml:space="preserve">Projected AUM inflow ($).</w:t>
      </w:r>
    </w:p>
    <w:p>
      <w:pPr>
        <w:pStyle w:val="ListParagraph"/>
        <w:numPr>
          <w:ilvl w:val="0"/>
          <w:numId w:val="2"/>
        </w:numPr>
        <w:spacing w:after="60"/>
      </w:pPr>
      <w:r>
        <w:rPr>
          <w:sz w:val="22"/>
          <w:szCs w:val="22"/>
        </w:rPr>
        <w:t xml:space="preserve">Projected annual fee revenue ($).</w:t>
      </w:r>
    </w:p>
    <w:p>
      <w:pPr>
        <w:pStyle w:val="ListParagraph"/>
        <w:numPr>
          <w:ilvl w:val="0"/>
          <w:numId w:val="2"/>
        </w:numPr>
        <w:spacing w:after="60"/>
      </w:pPr>
      <w:r>
        <w:rPr>
          <w:sz w:val="22"/>
          <w:szCs w:val="22"/>
        </w:rPr>
        <w:t xml:space="preserve">Household share-of-wallet delta (percentage points).</w:t>
      </w:r>
    </w:p>
    <w:p>
      <w:pPr>
        <w:pStyle w:val="ListParagraph"/>
        <w:numPr>
          <w:ilvl w:val="0"/>
          <w:numId w:val="2"/>
        </w:numPr>
        <w:spacing w:after="60"/>
      </w:pPr>
      <w:r>
        <w:rPr>
          <w:sz w:val="22"/>
          <w:szCs w:val="22"/>
        </w:rPr>
        <w:t xml:space="preserve">Tax implications: estimated capital gains taxable events at consolidation, plus first-year tax-loss harvesting availability.</w:t>
      </w:r>
    </w:p>
    <w:p>
      <w:pPr>
        <w:pStyle w:val="ListParagraph"/>
        <w:numPr>
          <w:ilvl w:val="0"/>
          <w:numId w:val="2"/>
        </w:numPr>
        <w:spacing w:after="60"/>
      </w:pPr>
      <w:r>
        <w:rPr>
          <w:sz w:val="22"/>
          <w:szCs w:val="22"/>
        </w:rPr>
        <w:t xml:space="preserve">Post-consolidation portfolio allocation (as pie chart) vs current.</w:t>
      </w:r>
    </w:p>
    <w:p>
      <w:pPr>
        <w:pStyle w:val="ListParagraph"/>
        <w:numPr>
          <w:ilvl w:val="0"/>
          <w:numId w:val="2"/>
        </w:numPr>
        <w:spacing w:after="60"/>
      </w:pPr>
      <w:r>
        <w:rPr>
          <w:sz w:val="22"/>
          <w:szCs w:val="22"/>
        </w:rPr>
        <w:t xml:space="preserve">Additional lending capacity via SBLOC (if applicable).</w:t>
      </w:r>
    </w:p>
    <w:p>
      <w:pPr>
        <w:pStyle w:val="ListParagraph"/>
        <w:numPr>
          <w:ilvl w:val="0"/>
          <w:numId w:val="2"/>
        </w:numPr>
        <w:spacing w:after="60"/>
      </w:pPr>
      <w:r>
        <w:rPr>
          <w:sz w:val="22"/>
          <w:szCs w:val="22"/>
        </w:rPr>
        <w:t xml:space="preserve">Risk-of-loss: probability-weighted downside if the pitch fails and the client walks entirely.</w:t>
      </w:r>
    </w:p>
    <w:p>
      <w:pPr>
        <w:pStyle w:val="Heading2"/>
        <w:spacing w:after="140" w:before="280"/>
      </w:pPr>
      <w:r>
        <w:rPr>
          <w:b/>
          <w:bCs/>
          <w:color w:val="2E75B6"/>
          <w:sz w:val="26"/>
          <w:szCs w:val="26"/>
        </w:rPr>
        <w:t xml:space="preserve">11.4 Implementation</w:t>
      </w:r>
    </w:p>
    <w:p>
      <w:pPr>
        <w:spacing w:after="120"/>
      </w:pPr>
      <w:r>
        <w:rPr>
          <w:sz w:val="22"/>
          <w:szCs w:val="22"/>
        </w:rPr>
        <w:t xml:space="preserve">The simulator combines deterministic financial math (fees, allocation, tax on unrealized gains at synthetic cost basis) with an LLM narrative layer that explains the numbers in the client's specific context. All numeric outputs are computed in Python — the LLM does not compute them, only narrates them.</w:t>
      </w:r>
    </w:p>
    <w:p>
      <w:pPr>
        <w:pStyle w:val="Heading2"/>
        <w:spacing w:after="140" w:before="280"/>
      </w:pPr>
      <w:r>
        <w:rPr>
          <w:b/>
          <w:bCs/>
          <w:color w:val="2E75B6"/>
          <w:sz w:val="26"/>
          <w:szCs w:val="26"/>
        </w:rPr>
        <w:t xml:space="preserve">11.5 API</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POST /simulator/scenario</w:t>
      </w:r>
      <w:r>
        <w:rPr>
          <w:rFonts w:ascii="Consolas" w:cs="Consolas" w:eastAsia="Consolas" w:hAnsi="Consolas"/>
          <w:sz w:val="20"/>
          <w:szCs w:val="20"/>
        </w:rPr>
        <w:br/>
        <w:t xml:space="preserve">{</w:t>
      </w:r>
      <w:r>
        <w:rPr>
          <w:rFonts w:ascii="Consolas" w:cs="Consolas" w:eastAsia="Consolas" w:hAnsi="Consolas"/>
          <w:sz w:val="20"/>
          <w:szCs w:val="20"/>
        </w:rPr>
        <w:br/>
        <w:t xml:space="preserve">  client_id: str,</w:t>
      </w:r>
      <w:r>
        <w:rPr>
          <w:rFonts w:ascii="Consolas" w:cs="Consolas" w:eastAsia="Consolas" w:hAnsi="Consolas"/>
          <w:sz w:val="20"/>
          <w:szCs w:val="20"/>
        </w:rPr>
        <w:br/>
        <w:t xml:space="preserve">  consolidation_pct: float,      # 0..1</w:t>
      </w:r>
      <w:r>
        <w:rPr>
          <w:rFonts w:ascii="Consolas" w:cs="Consolas" w:eastAsia="Consolas" w:hAnsi="Consolas"/>
          <w:sz w:val="20"/>
          <w:szCs w:val="20"/>
        </w:rPr>
        <w:br/>
        <w:t xml:space="preserve">  product_mix: {product: float}, # weights sum to 1</w:t>
      </w:r>
      <w:r>
        <w:rPr>
          <w:rFonts w:ascii="Consolas" w:cs="Consolas" w:eastAsia="Consolas" w:hAnsi="Consolas"/>
          <w:sz w:val="20"/>
          <w:szCs w:val="20"/>
        </w:rPr>
        <w:br/>
        <w:t xml:space="preserve">  horizon_years: int</w:t>
      </w:r>
      <w:r>
        <w:rPr>
          <w:rFonts w:ascii="Consolas" w:cs="Consolas" w:eastAsia="Consolas" w:hAnsi="Consolas"/>
          <w:sz w:val="20"/>
          <w:szCs w:val="20"/>
        </w:rPr>
        <w:br/>
        <w:t xml:space="preserve">}</w:t>
      </w:r>
      <w:r>
        <w:rPr>
          <w:rFonts w:ascii="Consolas" w:cs="Consolas" w:eastAsia="Consolas" w:hAnsi="Consolas"/>
          <w:sz w:val="20"/>
          <w:szCs w:val="20"/>
        </w:rPr>
        <w:br/>
        <w:t xml:space="preserve">-&gt;</w:t>
      </w:r>
      <w:r>
        <w:rPr>
          <w:rFonts w:ascii="Consolas" w:cs="Consolas" w:eastAsia="Consolas" w:hAnsi="Consolas"/>
          <w:sz w:val="20"/>
          <w:szCs w:val="20"/>
        </w:rPr>
        <w:br/>
        <w:t xml:space="preserve">{</w:t>
      </w:r>
      <w:r>
        <w:rPr>
          <w:rFonts w:ascii="Consolas" w:cs="Consolas" w:eastAsia="Consolas" w:hAnsi="Consolas"/>
          <w:sz w:val="20"/>
          <w:szCs w:val="20"/>
        </w:rPr>
        <w:br/>
        <w:t xml:space="preserve">  aum_inflow: float,</w:t>
      </w:r>
      <w:r>
        <w:rPr>
          <w:rFonts w:ascii="Consolas" w:cs="Consolas" w:eastAsia="Consolas" w:hAnsi="Consolas"/>
          <w:sz w:val="20"/>
          <w:szCs w:val="20"/>
        </w:rPr>
        <w:br/>
        <w:t xml:space="preserve">  annual_fee_revenue: float,</w:t>
      </w:r>
      <w:r>
        <w:rPr>
          <w:rFonts w:ascii="Consolas" w:cs="Consolas" w:eastAsia="Consolas" w:hAnsi="Consolas"/>
          <w:sz w:val="20"/>
          <w:szCs w:val="20"/>
        </w:rPr>
        <w:br/>
        <w:t xml:space="preserve">  wallet_share_delta_bps: float,</w:t>
      </w:r>
      <w:r>
        <w:rPr>
          <w:rFonts w:ascii="Consolas" w:cs="Consolas" w:eastAsia="Consolas" w:hAnsi="Consolas"/>
          <w:sz w:val="20"/>
          <w:szCs w:val="20"/>
        </w:rPr>
        <w:br/>
        <w:t xml:space="preserve">  tax_impact: {realized_gains: float, harvest_available: float},</w:t>
      </w:r>
      <w:r>
        <w:rPr>
          <w:rFonts w:ascii="Consolas" w:cs="Consolas" w:eastAsia="Consolas" w:hAnsi="Consolas"/>
          <w:sz w:val="20"/>
          <w:szCs w:val="20"/>
        </w:rPr>
        <w:br/>
        <w:t xml:space="preserve">  post_allocation: {asset_type: pct},</w:t>
      </w:r>
      <w:r>
        <w:rPr>
          <w:rFonts w:ascii="Consolas" w:cs="Consolas" w:eastAsia="Consolas" w:hAnsi="Consolas"/>
          <w:sz w:val="20"/>
          <w:szCs w:val="20"/>
        </w:rPr>
        <w:br/>
        <w:t xml:space="preserve">  sbloc_capacity: float,</w:t>
      </w:r>
      <w:r>
        <w:rPr>
          <w:rFonts w:ascii="Consolas" w:cs="Consolas" w:eastAsia="Consolas" w:hAnsi="Consolas"/>
          <w:sz w:val="20"/>
          <w:szCs w:val="20"/>
        </w:rPr>
        <w:br/>
        <w:t xml:space="preserve">  downside_scenario: {prob: float, walk_away_loss: float},</w:t>
      </w:r>
      <w:r>
        <w:rPr>
          <w:rFonts w:ascii="Consolas" w:cs="Consolas" w:eastAsia="Consolas" w:hAnsi="Consolas"/>
          <w:sz w:val="20"/>
          <w:szCs w:val="20"/>
        </w:rPr>
        <w:br/>
        <w:t xml:space="preserve">  narrative: str                 # LLM-generated explanation</w:t>
      </w:r>
      <w:r>
        <w:rPr>
          <w:rFonts w:ascii="Consolas" w:cs="Consolas" w:eastAsia="Consolas" w:hAnsi="Consolas"/>
          <w:sz w:val="20"/>
          <w:szCs w:val="20"/>
        </w:rPr>
        <w:br/>
        <w:t xml:space="preserve">}</w:t>
      </w:r>
    </w:p>
    <w:p>
      <w:r>
        <w:br w:type="page"/>
      </w:r>
    </w:p>
    <w:p>
      <w:pPr>
        <w:pStyle w:val="Heading1"/>
        <w:spacing w:after="180" w:before="360"/>
      </w:pPr>
      <w:r>
        <w:rPr>
          <w:b/>
          <w:bCs/>
          <w:color w:val="1F4E79"/>
          <w:sz w:val="32"/>
          <w:szCs w:val="32"/>
        </w:rPr>
        <w:t xml:space="preserve">12. Prompting Strategy</w:t>
      </w:r>
    </w:p>
    <w:p>
      <w:pPr>
        <w:pStyle w:val="Heading2"/>
        <w:spacing w:after="140" w:before="280"/>
      </w:pPr>
      <w:r>
        <w:rPr>
          <w:b/>
          <w:bCs/>
          <w:color w:val="2E75B6"/>
          <w:sz w:val="26"/>
          <w:szCs w:val="26"/>
        </w:rPr>
        <w:t xml:space="preserve">12.1 Prompt Storage</w:t>
      </w:r>
    </w:p>
    <w:p>
      <w:pPr>
        <w:spacing w:after="120"/>
      </w:pPr>
      <w:r>
        <w:rPr>
          <w:sz w:val="22"/>
          <w:szCs w:val="22"/>
        </w:rPr>
        <w:t xml:space="preserve">All prompts live in `backend/app/llm/prompts/` as `.md` files, version-controlled. The prompt file's frontmatter declares which task it serves, its target provider(s), and its expected output schema (JSON schema fragment for structured tasks). Loading is via a small `PromptLoader` that supports variable substitution.</w:t>
      </w:r>
    </w:p>
    <w:p>
      <w:pPr>
        <w:pStyle w:val="Heading2"/>
        <w:spacing w:after="140" w:before="280"/>
      </w:pPr>
      <w:r>
        <w:rPr>
          <w:b/>
          <w:bCs/>
          <w:color w:val="2E75B6"/>
          <w:sz w:val="26"/>
          <w:szCs w:val="26"/>
        </w:rPr>
        <w:t xml:space="preserve">12.2 Grounding-First Principle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Prompting rule: </w:t>
      </w:r>
      <w:r>
        <w:rPr>
          <w:sz w:val="22"/>
          <w:szCs w:val="22"/>
        </w:rPr>
        <w:t xml:space="preserve">Every play-generation prompt receives the FULL evidence list for the client and is instructed: (a) cite every factual claim with an [ev:signal_id] marker; (b) never invent numbers not in the evidence; (c) if the estimated size band is wide, use the word 'approximately' and reference the band. The independent verifier prompt receives the same evidence and is asked to flag any unsupported claim.</w:t>
      </w:r>
    </w:p>
    <w:p>
      <w:pPr>
        <w:pStyle w:val="Heading2"/>
        <w:spacing w:after="140" w:before="280"/>
      </w:pPr>
      <w:r>
        <w:rPr>
          <w:b/>
          <w:bCs/>
          <w:color w:val="2E75B6"/>
          <w:sz w:val="26"/>
          <w:szCs w:val="26"/>
        </w:rPr>
        <w:t xml:space="preserve">12.3 Key Prompts</w:t>
      </w:r>
    </w:p>
    <w:p>
      <w:pPr>
        <w:pStyle w:val="ListParagraph"/>
        <w:numPr>
          <w:ilvl w:val="0"/>
          <w:numId w:val="2"/>
        </w:numPr>
        <w:spacing w:after="60"/>
      </w:pPr>
      <w:r>
        <w:rPr>
          <w:sz w:val="22"/>
          <w:szCs w:val="22"/>
        </w:rPr>
        <w:t xml:space="preserve">play_generation.md — produces the consolidation play with citations. Provider: Claude.</w:t>
      </w:r>
    </w:p>
    <w:p>
      <w:pPr>
        <w:pStyle w:val="ListParagraph"/>
        <w:numPr>
          <w:ilvl w:val="0"/>
          <w:numId w:val="2"/>
        </w:numPr>
        <w:spacing w:after="60"/>
      </w:pPr>
      <w:r>
        <w:rPr>
          <w:sz w:val="22"/>
          <w:szCs w:val="22"/>
        </w:rPr>
        <w:t xml:space="preserve">value_proposition_selection.md — chooses the strongest Citi differentiator for this client. Provider: Claude.</w:t>
      </w:r>
    </w:p>
    <w:p>
      <w:pPr>
        <w:pStyle w:val="ListParagraph"/>
        <w:numPr>
          <w:ilvl w:val="0"/>
          <w:numId w:val="2"/>
        </w:numPr>
        <w:spacing w:after="60"/>
      </w:pPr>
      <w:r>
        <w:rPr>
          <w:sz w:val="22"/>
          <w:szCs w:val="22"/>
        </w:rPr>
        <w:t xml:space="preserve">independent_verifier.md — grounding check. Provider: Gemini (falls back to Claude with a different system prompt if Gemini unconfigured).</w:t>
      </w:r>
    </w:p>
    <w:p>
      <w:pPr>
        <w:pStyle w:val="ListParagraph"/>
        <w:numPr>
          <w:ilvl w:val="0"/>
          <w:numId w:val="2"/>
        </w:numPr>
        <w:spacing w:after="60"/>
      </w:pPr>
      <w:r>
        <w:rPr>
          <w:sz w:val="22"/>
          <w:szCs w:val="22"/>
        </w:rPr>
        <w:t xml:space="preserve">suitability_check.md — AI suitability judgment. Provider: Claude.</w:t>
      </w:r>
    </w:p>
    <w:p>
      <w:pPr>
        <w:pStyle w:val="ListParagraph"/>
        <w:numPr>
          <w:ilvl w:val="0"/>
          <w:numId w:val="2"/>
        </w:numPr>
        <w:spacing w:after="60"/>
      </w:pPr>
      <w:r>
        <w:rPr>
          <w:sz w:val="22"/>
          <w:szCs w:val="22"/>
        </w:rPr>
        <w:t xml:space="preserve">outreach_draft.md — advisor-usable email or call script. Provider: Claude.</w:t>
      </w:r>
    </w:p>
    <w:p>
      <w:pPr>
        <w:pStyle w:val="ListParagraph"/>
        <w:numPr>
          <w:ilvl w:val="0"/>
          <w:numId w:val="2"/>
        </w:numPr>
        <w:spacing w:after="60"/>
      </w:pPr>
      <w:r>
        <w:rPr>
          <w:sz w:val="22"/>
          <w:szCs w:val="22"/>
        </w:rPr>
        <w:t xml:space="preserve">simulator_narrative.md — explains simulator numbers in the client's context. Provider: Claude.</w:t>
      </w:r>
    </w:p>
    <w:p>
      <w:r>
        <w:br w:type="page"/>
      </w:r>
    </w:p>
    <w:p>
      <w:pPr>
        <w:pStyle w:val="Heading1"/>
        <w:spacing w:after="180" w:before="360"/>
      </w:pPr>
      <w:r>
        <w:rPr>
          <w:b/>
          <w:bCs/>
          <w:color w:val="1F4E79"/>
          <w:sz w:val="32"/>
          <w:szCs w:val="32"/>
        </w:rPr>
        <w:t xml:space="preserve">13. KPIs and Evaluation</w:t>
      </w:r>
    </w:p>
    <w:p>
      <w:pPr>
        <w:pStyle w:val="Heading2"/>
        <w:spacing w:after="140" w:before="280"/>
      </w:pPr>
      <w:r>
        <w:rPr>
          <w:b/>
          <w:bCs/>
          <w:color w:val="2E75B6"/>
          <w:sz w:val="26"/>
          <w:szCs w:val="26"/>
        </w:rPr>
        <w:t xml:space="preserve">13.1 System KPIs (surfaced in the 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800"/>
      </w:tblGrid>
      <w:tr>
        <w:trPr>
          <w:tblHeader/>
        </w:trPr>
        <w:tc>
          <w:tcPr>
            <w:tcW w:type="dxa" w:w="3400"/>
            <w:shd w:fill="2E75B6" w:val="clear"/>
          </w:tcPr>
          <w:p>
            <w:r>
              <w:rPr>
                <w:b/>
                <w:bCs/>
                <w:color w:val="FFFFFF"/>
                <w:sz w:val="22"/>
                <w:szCs w:val="22"/>
              </w:rPr>
              <w:t xml:space="preserve">KPI</w:t>
            </w:r>
          </w:p>
        </w:tc>
        <w:tc>
          <w:tcPr>
            <w:tcW w:type="dxa" w:w="3200"/>
            <w:shd w:fill="2E75B6" w:val="clear"/>
          </w:tcPr>
          <w:p>
            <w:r>
              <w:rPr>
                <w:b/>
                <w:bCs/>
                <w:color w:val="FFFFFF"/>
                <w:sz w:val="22"/>
                <w:szCs w:val="22"/>
              </w:rPr>
              <w:t xml:space="preserve">Definition</w:t>
            </w:r>
          </w:p>
        </w:tc>
        <w:tc>
          <w:tcPr>
            <w:tcW w:type="dxa" w:w="2800"/>
            <w:shd w:fill="2E75B6" w:val="clear"/>
          </w:tcPr>
          <w:p>
            <w:r>
              <w:rPr>
                <w:b/>
                <w:bCs/>
                <w:color w:val="FFFFFF"/>
                <w:sz w:val="22"/>
                <w:szCs w:val="22"/>
              </w:rPr>
              <w:t xml:space="preserve">Where shown</w:t>
            </w:r>
          </w:p>
        </w:tc>
      </w:tr>
      <w:tr>
        <w:tc>
          <w:tcPr>
            <w:tcW w:type="dxa" w:w="3400"/>
          </w:tcPr>
          <w:p>
            <w:r>
              <w:rPr>
                <w:b w:val="false"/>
                <w:bCs w:val="false"/>
                <w:color w:val="000000"/>
                <w:sz w:val="20"/>
                <w:szCs w:val="20"/>
              </w:rPr>
              <w:t xml:space="preserve">Precision</w:t>
            </w:r>
          </w:p>
        </w:tc>
        <w:tc>
          <w:tcPr>
            <w:tcW w:type="dxa" w:w="3200"/>
          </w:tcPr>
          <w:p>
            <w:r>
              <w:rPr>
                <w:b w:val="false"/>
                <w:bCs w:val="false"/>
                <w:color w:val="000000"/>
                <w:sz w:val="20"/>
                <w:szCs w:val="20"/>
              </w:rPr>
              <w:t xml:space="preserve">TP / (TP + FP), by regime and blended</w:t>
            </w:r>
          </w:p>
        </w:tc>
        <w:tc>
          <w:tcPr>
            <w:tcW w:type="dxa" w:w="2800"/>
          </w:tcPr>
          <w:p>
            <w:r>
              <w:rPr>
                <w:b w:val="false"/>
                <w:bCs w:val="false"/>
                <w:color w:val="000000"/>
                <w:sz w:val="20"/>
                <w:szCs w:val="20"/>
              </w:rPr>
              <w:t xml:space="preserve">Book overview KPI strip; Settings &gt; Diagnostics</w:t>
            </w:r>
          </w:p>
        </w:tc>
      </w:tr>
      <w:tr>
        <w:tc>
          <w:tcPr>
            <w:tcW w:type="dxa" w:w="3400"/>
            <w:shd w:fill="F4F8FC" w:val="clear"/>
          </w:tcPr>
          <w:p>
            <w:r>
              <w:rPr>
                <w:b w:val="false"/>
                <w:bCs w:val="false"/>
                <w:color w:val="000000"/>
                <w:sz w:val="20"/>
                <w:szCs w:val="20"/>
              </w:rPr>
              <w:t xml:space="preserve">Recall</w:t>
            </w:r>
          </w:p>
        </w:tc>
        <w:tc>
          <w:tcPr>
            <w:tcW w:type="dxa" w:w="3200"/>
            <w:shd w:fill="F4F8FC" w:val="clear"/>
          </w:tcPr>
          <w:p>
            <w:r>
              <w:rPr>
                <w:b w:val="false"/>
                <w:bCs w:val="false"/>
                <w:color w:val="000000"/>
                <w:sz w:val="20"/>
                <w:szCs w:val="20"/>
              </w:rPr>
              <w:t xml:space="preserve">TP / (TP + FN), by regime and blended</w:t>
            </w:r>
          </w:p>
        </w:tc>
        <w:tc>
          <w:tcPr>
            <w:tcW w:type="dxa" w:w="2800"/>
            <w:shd w:fill="F4F8FC" w:val="clear"/>
          </w:tcPr>
          <w:p>
            <w:r>
              <w:rPr>
                <w:b w:val="false"/>
                <w:bCs w:val="false"/>
                <w:color w:val="000000"/>
                <w:sz w:val="20"/>
                <w:szCs w:val="20"/>
              </w:rPr>
              <w:t xml:space="preserve">Book overview; regime breakdown chart</w:t>
            </w:r>
          </w:p>
        </w:tc>
      </w:tr>
      <w:tr>
        <w:tc>
          <w:tcPr>
            <w:tcW w:type="dxa" w:w="3400"/>
          </w:tcPr>
          <w:p>
            <w:r>
              <w:rPr>
                <w:b w:val="false"/>
                <w:bCs w:val="false"/>
                <w:color w:val="000000"/>
                <w:sz w:val="20"/>
                <w:szCs w:val="20"/>
              </w:rPr>
              <w:t xml:space="preserve">False positive rate</w:t>
            </w:r>
          </w:p>
        </w:tc>
        <w:tc>
          <w:tcPr>
            <w:tcW w:type="dxa" w:w="3200"/>
          </w:tcPr>
          <w:p>
            <w:r>
              <w:rPr>
                <w:b w:val="false"/>
                <w:bCs w:val="false"/>
                <w:color w:val="000000"/>
                <w:sz w:val="20"/>
                <w:szCs w:val="20"/>
              </w:rPr>
              <w:t xml:space="preserve">FP / (FP + TN)</w:t>
            </w:r>
          </w:p>
        </w:tc>
        <w:tc>
          <w:tcPr>
            <w:tcW w:type="dxa" w:w="2800"/>
          </w:tcPr>
          <w:p>
            <w:r>
              <w:rPr>
                <w:b w:val="false"/>
                <w:bCs w:val="false"/>
                <w:color w:val="000000"/>
                <w:sz w:val="20"/>
                <w:szCs w:val="20"/>
              </w:rPr>
              <w:t xml:space="preserve">Diagnostics</w:t>
            </w:r>
          </w:p>
        </w:tc>
      </w:tr>
      <w:tr>
        <w:tc>
          <w:tcPr>
            <w:tcW w:type="dxa" w:w="3400"/>
            <w:shd w:fill="F4F8FC" w:val="clear"/>
          </w:tcPr>
          <w:p>
            <w:r>
              <w:rPr>
                <w:b w:val="false"/>
                <w:bCs w:val="false"/>
                <w:color w:val="000000"/>
                <w:sz w:val="20"/>
                <w:szCs w:val="20"/>
              </w:rPr>
              <w:t xml:space="preserve">Size MAPE</w:t>
            </w:r>
          </w:p>
        </w:tc>
        <w:tc>
          <w:tcPr>
            <w:tcW w:type="dxa" w:w="3200"/>
            <w:shd w:fill="F4F8FC" w:val="clear"/>
          </w:tcPr>
          <w:p>
            <w:r>
              <w:rPr>
                <w:b w:val="false"/>
                <w:bCs w:val="false"/>
                <w:color w:val="000000"/>
                <w:sz w:val="20"/>
                <w:szCs w:val="20"/>
              </w:rPr>
              <w:t xml:space="preserve">Mean absolute percentage error on estimated size vs true (available in synthetic mode)</w:t>
            </w:r>
          </w:p>
        </w:tc>
        <w:tc>
          <w:tcPr>
            <w:tcW w:type="dxa" w:w="2800"/>
            <w:shd w:fill="F4F8FC" w:val="clear"/>
          </w:tcPr>
          <w:p>
            <w:r>
              <w:rPr>
                <w:b w:val="false"/>
                <w:bCs w:val="false"/>
                <w:color w:val="000000"/>
                <w:sz w:val="20"/>
                <w:szCs w:val="20"/>
              </w:rPr>
              <w:t xml:space="preserve">Diagnostics</w:t>
            </w:r>
          </w:p>
        </w:tc>
      </w:tr>
      <w:tr>
        <w:tc>
          <w:tcPr>
            <w:tcW w:type="dxa" w:w="3400"/>
          </w:tcPr>
          <w:p>
            <w:r>
              <w:rPr>
                <w:b w:val="false"/>
                <w:bCs w:val="false"/>
                <w:color w:val="000000"/>
                <w:sz w:val="20"/>
                <w:szCs w:val="20"/>
              </w:rPr>
              <w:t xml:space="preserve">Calibration</w:t>
            </w:r>
          </w:p>
        </w:tc>
        <w:tc>
          <w:tcPr>
            <w:tcW w:type="dxa" w:w="3200"/>
          </w:tcPr>
          <w:p>
            <w:r>
              <w:rPr>
                <w:b w:val="false"/>
                <w:bCs w:val="false"/>
                <w:color w:val="000000"/>
                <w:sz w:val="20"/>
                <w:szCs w:val="20"/>
              </w:rPr>
              <w:t xml:space="preserve">Predicted probability bucket vs actual positive rate</w:t>
            </w:r>
          </w:p>
        </w:tc>
        <w:tc>
          <w:tcPr>
            <w:tcW w:type="dxa" w:w="2800"/>
          </w:tcPr>
          <w:p>
            <w:r>
              <w:rPr>
                <w:b w:val="false"/>
                <w:bCs w:val="false"/>
                <w:color w:val="000000"/>
                <w:sz w:val="20"/>
                <w:szCs w:val="20"/>
              </w:rPr>
              <w:t xml:space="preserve">Diagnostics — reliability plot</w:t>
            </w:r>
          </w:p>
        </w:tc>
      </w:tr>
      <w:tr>
        <w:tc>
          <w:tcPr>
            <w:tcW w:type="dxa" w:w="3400"/>
            <w:shd w:fill="F4F8FC" w:val="clear"/>
          </w:tcPr>
          <w:p>
            <w:r>
              <w:rPr>
                <w:b w:val="false"/>
                <w:bCs w:val="false"/>
                <w:color w:val="000000"/>
                <w:sz w:val="20"/>
                <w:szCs w:val="20"/>
              </w:rPr>
              <w:t xml:space="preserve">Suitability block rate</w:t>
            </w:r>
          </w:p>
        </w:tc>
        <w:tc>
          <w:tcPr>
            <w:tcW w:type="dxa" w:w="3200"/>
            <w:shd w:fill="F4F8FC" w:val="clear"/>
          </w:tcPr>
          <w:p>
            <w:r>
              <w:rPr>
                <w:b w:val="false"/>
                <w:bCs w:val="false"/>
                <w:color w:val="000000"/>
                <w:sz w:val="20"/>
                <w:szCs w:val="20"/>
              </w:rPr>
              <w:t xml:space="preserve">% of generated plays blocked by compliance</w:t>
            </w:r>
          </w:p>
        </w:tc>
        <w:tc>
          <w:tcPr>
            <w:tcW w:type="dxa" w:w="2800"/>
            <w:shd w:fill="F4F8FC" w:val="clear"/>
          </w:tcPr>
          <w:p>
            <w:r>
              <w:rPr>
                <w:b w:val="false"/>
                <w:bCs w:val="false"/>
                <w:color w:val="000000"/>
                <w:sz w:val="20"/>
                <w:szCs w:val="20"/>
              </w:rPr>
              <w:t xml:space="preserve">Diagnostics</w:t>
            </w:r>
          </w:p>
        </w:tc>
      </w:tr>
      <w:tr>
        <w:tc>
          <w:tcPr>
            <w:tcW w:type="dxa" w:w="3400"/>
          </w:tcPr>
          <w:p>
            <w:r>
              <w:rPr>
                <w:b w:val="false"/>
                <w:bCs w:val="false"/>
                <w:color w:val="000000"/>
                <w:sz w:val="20"/>
                <w:szCs w:val="20"/>
              </w:rPr>
              <w:t xml:space="preserve">Advisor rejection rate</w:t>
            </w:r>
          </w:p>
        </w:tc>
        <w:tc>
          <w:tcPr>
            <w:tcW w:type="dxa" w:w="3200"/>
          </w:tcPr>
          <w:p>
            <w:r>
              <w:rPr>
                <w:b w:val="false"/>
                <w:bCs w:val="false"/>
                <w:color w:val="000000"/>
                <w:sz w:val="20"/>
                <w:szCs w:val="20"/>
              </w:rPr>
              <w:t xml:space="preserve">% of surfaced opps advisors reject, by reason</w:t>
            </w:r>
          </w:p>
        </w:tc>
        <w:tc>
          <w:tcPr>
            <w:tcW w:type="dxa" w:w="2800"/>
          </w:tcPr>
          <w:p>
            <w:r>
              <w:rPr>
                <w:b w:val="false"/>
                <w:bCs w:val="false"/>
                <w:color w:val="000000"/>
                <w:sz w:val="20"/>
                <w:szCs w:val="20"/>
              </w:rPr>
              <w:t xml:space="preserve">Diagnostics</w:t>
            </w:r>
          </w:p>
        </w:tc>
      </w:tr>
    </w:tbl>
    <w:p>
      <w:pPr>
        <w:spacing w:after="200"/>
      </w:pPr>
      <w:r>
        <w:t xml:space="preserve"/>
      </w:r>
    </w:p>
    <w:p>
      <w:pPr>
        <w:pStyle w:val="Heading2"/>
        <w:spacing w:after="140" w:before="280"/>
      </w:pPr>
      <w:r>
        <w:rPr>
          <w:b/>
          <w:bCs/>
          <w:color w:val="2E75B6"/>
          <w:sz w:val="26"/>
          <w:szCs w:val="26"/>
        </w:rPr>
        <w:t xml:space="preserve">13.2 The Regime Breakdown Requirement</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Reporting rule: </w:t>
      </w:r>
      <w:r>
        <w:rPr>
          <w:sz w:val="22"/>
          <w:szCs w:val="22"/>
        </w:rPr>
        <w:t xml:space="preserve">KPIs MUST be shown broken out by signal_regime (hub, lending_disclosure, consented_aggregation, silo) as well as blended. Blended recall alone understates what the model does well and hides why it correctly abstains elsewhere. The by-regime breakdown IS the honest story.</w:t>
      </w:r>
    </w:p>
    <w:p>
      <w:r>
        <w:br w:type="page"/>
      </w:r>
    </w:p>
    <w:p>
      <w:pPr>
        <w:pStyle w:val="Heading1"/>
        <w:spacing w:after="180" w:before="360"/>
      </w:pPr>
      <w:r>
        <w:rPr>
          <w:b/>
          <w:bCs/>
          <w:color w:val="1F4E79"/>
          <w:sz w:val="32"/>
          <w:szCs w:val="32"/>
        </w:rPr>
        <w:t xml:space="preserve">14. Security and Privacy</w:t>
      </w:r>
    </w:p>
    <w:p>
      <w:pPr>
        <w:pStyle w:val="Heading2"/>
        <w:spacing w:after="140" w:before="280"/>
      </w:pPr>
      <w:r>
        <w:rPr>
          <w:b/>
          <w:bCs/>
          <w:color w:val="2E75B6"/>
          <w:sz w:val="26"/>
          <w:szCs w:val="26"/>
        </w:rPr>
        <w:t xml:space="preserve">14.1 Data</w:t>
      </w:r>
    </w:p>
    <w:p>
      <w:pPr>
        <w:pStyle w:val="ListParagraph"/>
        <w:numPr>
          <w:ilvl w:val="0"/>
          <w:numId w:val="2"/>
        </w:numPr>
        <w:spacing w:after="60"/>
      </w:pPr>
      <w:r>
        <w:rPr>
          <w:sz w:val="22"/>
          <w:szCs w:val="22"/>
        </w:rPr>
        <w:t xml:space="preserve">All client data in this demo is synthetic. No real PII exists at any point.</w:t>
      </w:r>
    </w:p>
    <w:p>
      <w:pPr>
        <w:pStyle w:val="ListParagraph"/>
        <w:numPr>
          <w:ilvl w:val="0"/>
          <w:numId w:val="2"/>
        </w:numPr>
        <w:spacing w:after="60"/>
      </w:pPr>
      <w:r>
        <w:rPr>
          <w:sz w:val="22"/>
          <w:szCs w:val="22"/>
        </w:rPr>
        <w:t xml:space="preserve">The synthetic-vs-real posture is stated prominently in the app header and in the About screen.</w:t>
      </w:r>
    </w:p>
    <w:p>
      <w:pPr>
        <w:pStyle w:val="Heading2"/>
        <w:spacing w:after="140" w:before="280"/>
      </w:pPr>
      <w:r>
        <w:rPr>
          <w:b/>
          <w:bCs/>
          <w:color w:val="2E75B6"/>
          <w:sz w:val="26"/>
          <w:szCs w:val="26"/>
        </w:rPr>
        <w:t xml:space="preserve">14.2 API keys</w:t>
      </w:r>
    </w:p>
    <w:p>
      <w:pPr>
        <w:pStyle w:val="ListParagraph"/>
        <w:numPr>
          <w:ilvl w:val="0"/>
          <w:numId w:val="2"/>
        </w:numPr>
        <w:spacing w:after="60"/>
      </w:pPr>
      <w:r>
        <w:rPr>
          <w:sz w:val="22"/>
          <w:szCs w:val="22"/>
        </w:rPr>
        <w:t xml:space="preserve">Never logged, never returned in GET responses, never displayed in the UI once saved (masked as `sk-...` + last 4).</w:t>
      </w:r>
    </w:p>
    <w:p>
      <w:pPr>
        <w:pStyle w:val="ListParagraph"/>
        <w:numPr>
          <w:ilvl w:val="0"/>
          <w:numId w:val="2"/>
        </w:numPr>
        <w:spacing w:after="60"/>
      </w:pPr>
      <w:r>
        <w:rPr>
          <w:sz w:val="22"/>
          <w:szCs w:val="22"/>
        </w:rPr>
        <w:t xml:space="preserve">Encrypted at rest with Fernet symmetric key. Master key retrieved from OS keyring where available.</w:t>
      </w:r>
    </w:p>
    <w:p>
      <w:pPr>
        <w:pStyle w:val="ListParagraph"/>
        <w:numPr>
          <w:ilvl w:val="0"/>
          <w:numId w:val="2"/>
        </w:numPr>
        <w:spacing w:after="60"/>
      </w:pPr>
      <w:r>
        <w:rPr>
          <w:sz w:val="22"/>
          <w:szCs w:val="22"/>
        </w:rPr>
        <w:t xml:space="preserve">Fallback (headless/CI): master key from `~/.config/gravity/master.key` with 0600 permissions and a red banner in the UI warning about the reduced posture.</w:t>
      </w:r>
    </w:p>
    <w:p>
      <w:pPr>
        <w:pStyle w:val="ListParagraph"/>
        <w:numPr>
          <w:ilvl w:val="0"/>
          <w:numId w:val="2"/>
        </w:numPr>
        <w:spacing w:after="60"/>
      </w:pPr>
      <w:r>
        <w:rPr>
          <w:sz w:val="22"/>
          <w:szCs w:val="22"/>
        </w:rPr>
        <w:t xml:space="preserve">Cleared from process memory on shutdown.</w:t>
      </w:r>
    </w:p>
    <w:p>
      <w:pPr>
        <w:pStyle w:val="Heading2"/>
        <w:spacing w:after="140" w:before="280"/>
      </w:pPr>
      <w:r>
        <w:rPr>
          <w:b/>
          <w:bCs/>
          <w:color w:val="2E75B6"/>
          <w:sz w:val="26"/>
          <w:szCs w:val="26"/>
        </w:rPr>
        <w:t xml:space="preserve">14.3 Network</w:t>
      </w:r>
    </w:p>
    <w:p>
      <w:pPr>
        <w:pStyle w:val="ListParagraph"/>
        <w:numPr>
          <w:ilvl w:val="0"/>
          <w:numId w:val="2"/>
        </w:numPr>
        <w:spacing w:after="60"/>
      </w:pPr>
      <w:r>
        <w:rPr>
          <w:sz w:val="22"/>
          <w:szCs w:val="22"/>
        </w:rPr>
        <w:t xml:space="preserve">Demo runs on localhost with CORS restricted to the frontend origin only.</w:t>
      </w:r>
    </w:p>
    <w:p>
      <w:pPr>
        <w:pStyle w:val="ListParagraph"/>
        <w:numPr>
          <w:ilvl w:val="0"/>
          <w:numId w:val="2"/>
        </w:numPr>
        <w:spacing w:after="60"/>
      </w:pPr>
      <w:r>
        <w:rPr>
          <w:sz w:val="22"/>
          <w:szCs w:val="22"/>
        </w:rPr>
        <w:t xml:space="preserve">HTTP is acceptable for localhost demo; documentation notes HTTPS is required for any non-local deployment.</w:t>
      </w:r>
    </w:p>
    <w:p>
      <w:r>
        <w:br w:type="page"/>
      </w:r>
    </w:p>
    <w:p>
      <w:pPr>
        <w:pStyle w:val="Heading1"/>
        <w:spacing w:after="180" w:before="360"/>
      </w:pPr>
      <w:r>
        <w:rPr>
          <w:b/>
          <w:bCs/>
          <w:color w:val="1F4E79"/>
          <w:sz w:val="32"/>
          <w:szCs w:val="32"/>
        </w:rPr>
        <w:t xml:space="preserve">15. Build Plan for Claude Code</w:t>
      </w:r>
    </w:p>
    <w:p>
      <w:pPr>
        <w:pStyle w:val="Heading2"/>
        <w:spacing w:after="140" w:before="280"/>
      </w:pPr>
      <w:r>
        <w:rPr>
          <w:b/>
          <w:bCs/>
          <w:color w:val="2E75B6"/>
          <w:sz w:val="26"/>
          <w:szCs w:val="26"/>
        </w:rPr>
        <w:t xml:space="preserve">15.1 Approach</w:t>
      </w:r>
    </w:p>
    <w:p>
      <w:pPr>
        <w:spacing w:after="120"/>
      </w:pPr>
      <w:r>
        <w:rPr>
          <w:sz w:val="22"/>
          <w:szCs w:val="22"/>
        </w:rPr>
        <w:t xml:space="preserve">This section is written specifically for Claude Code as the implementer. Each phase is a self-contained increment that produces a runnable, verifiable state. Do not proceed to a later phase until the earlier one's acceptance criteria pass.</w:t>
      </w:r>
    </w:p>
    <w:p>
      <w:pPr>
        <w:pStyle w:val="Heading2"/>
        <w:spacing w:after="140" w:before="280"/>
      </w:pPr>
      <w:r>
        <w:rPr>
          <w:b/>
          <w:bCs/>
          <w:color w:val="2E75B6"/>
          <w:sz w:val="26"/>
          <w:szCs w:val="26"/>
        </w:rPr>
        <w:t xml:space="preserve">15.2 Phase 0 — Scaffold (30 min)</w:t>
      </w:r>
    </w:p>
    <w:p>
      <w:pPr>
        <w:pStyle w:val="ListParagraph"/>
        <w:numPr>
          <w:ilvl w:val="0"/>
          <w:numId w:val="2"/>
        </w:numPr>
        <w:spacing w:after="60"/>
      </w:pPr>
      <w:r>
        <w:rPr>
          <w:sz w:val="22"/>
          <w:szCs w:val="22"/>
        </w:rPr>
        <w:t xml:space="preserve">Create the repository layout in Section 3.3.</w:t>
      </w:r>
    </w:p>
    <w:p>
      <w:pPr>
        <w:pStyle w:val="ListParagraph"/>
        <w:numPr>
          <w:ilvl w:val="0"/>
          <w:numId w:val="2"/>
        </w:numPr>
        <w:spacing w:after="60"/>
      </w:pPr>
      <w:r>
        <w:rPr>
          <w:sz w:val="22"/>
          <w:szCs w:val="22"/>
        </w:rPr>
        <w:t xml:space="preserve">Initialize backend with FastAPI, SQLAlchemy, Alembic; frontend with Vite + React + TypeScript + Tailwind.</w:t>
      </w:r>
    </w:p>
    <w:p>
      <w:pPr>
        <w:pStyle w:val="ListParagraph"/>
        <w:numPr>
          <w:ilvl w:val="0"/>
          <w:numId w:val="2"/>
        </w:numPr>
        <w:spacing w:after="60"/>
      </w:pPr>
      <w:r>
        <w:rPr>
          <w:sz w:val="22"/>
          <w:szCs w:val="22"/>
        </w:rPr>
        <w:t xml:space="preserve">Wire a `make dev` target that starts both.</w:t>
      </w:r>
    </w:p>
    <w:p>
      <w:pPr>
        <w:pStyle w:val="ListParagraph"/>
        <w:numPr>
          <w:ilvl w:val="0"/>
          <w:numId w:val="2"/>
        </w:numPr>
        <w:spacing w:after="60"/>
      </w:pPr>
      <w:r>
        <w:rPr>
          <w:sz w:val="22"/>
          <w:szCs w:val="22"/>
        </w:rPr>
        <w:t xml:space="preserve">Health check endpoint returns 200. Frontend renders a placeholder page.</w:t>
      </w:r>
    </w:p>
    <w:p>
      <w:pPr>
        <w:pStyle w:val="ListParagraph"/>
        <w:numPr>
          <w:ilvl w:val="0"/>
          <w:numId w:val="2"/>
        </w:numPr>
        <w:spacing w:after="60"/>
      </w:pPr>
      <w:r>
        <w:rPr>
          <w:sz w:val="22"/>
          <w:szCs w:val="22"/>
        </w:rPr>
        <w:t xml:space="preserve">Acceptance: `make dev` starts, both services reachable, `curl /health` returns 200.</w:t>
      </w:r>
    </w:p>
    <w:p>
      <w:pPr>
        <w:pStyle w:val="Heading2"/>
        <w:spacing w:after="140" w:before="280"/>
      </w:pPr>
      <w:r>
        <w:rPr>
          <w:b/>
          <w:bCs/>
          <w:color w:val="2E75B6"/>
          <w:sz w:val="26"/>
          <w:szCs w:val="26"/>
        </w:rPr>
        <w:t xml:space="preserve">15.3 Phase 1 — Data Layer (60 min)</w:t>
      </w:r>
    </w:p>
    <w:p>
      <w:pPr>
        <w:pStyle w:val="ListParagraph"/>
        <w:numPr>
          <w:ilvl w:val="0"/>
          <w:numId w:val="2"/>
        </w:numPr>
        <w:spacing w:after="60"/>
      </w:pPr>
      <w:r>
        <w:rPr>
          <w:sz w:val="22"/>
          <w:szCs w:val="22"/>
        </w:rPr>
        <w:t xml:space="preserve">Copy `gravity_datagen.py` and its `sample_book/*.csv` outputs into `data/seed/`.</w:t>
      </w:r>
    </w:p>
    <w:p>
      <w:pPr>
        <w:pStyle w:val="ListParagraph"/>
        <w:numPr>
          <w:ilvl w:val="0"/>
          <w:numId w:val="2"/>
        </w:numPr>
        <w:spacing w:after="60"/>
      </w:pPr>
      <w:r>
        <w:rPr>
          <w:sz w:val="22"/>
          <w:szCs w:val="22"/>
        </w:rPr>
        <w:t xml:space="preserve">Implement SQLAlchemy models matching Section 10.1.</w:t>
      </w:r>
    </w:p>
    <w:p>
      <w:pPr>
        <w:pStyle w:val="ListParagraph"/>
        <w:numPr>
          <w:ilvl w:val="0"/>
          <w:numId w:val="2"/>
        </w:numPr>
        <w:spacing w:after="60"/>
      </w:pPr>
      <w:r>
        <w:rPr>
          <w:sz w:val="22"/>
          <w:szCs w:val="22"/>
        </w:rPr>
        <w:t xml:space="preserve">Alembic migration for initial schema.</w:t>
      </w:r>
    </w:p>
    <w:p>
      <w:pPr>
        <w:pStyle w:val="ListParagraph"/>
        <w:numPr>
          <w:ilvl w:val="0"/>
          <w:numId w:val="2"/>
        </w:numPr>
        <w:spacing w:after="60"/>
      </w:pPr>
      <w:r>
        <w:rPr>
          <w:sz w:val="22"/>
          <w:szCs w:val="22"/>
        </w:rPr>
        <w:t xml:space="preserve">Implement ingest service reading CSVs into the DB.</w:t>
      </w:r>
    </w:p>
    <w:p>
      <w:pPr>
        <w:pStyle w:val="ListParagraph"/>
        <w:numPr>
          <w:ilvl w:val="0"/>
          <w:numId w:val="2"/>
        </w:numPr>
        <w:spacing w:after="60"/>
      </w:pPr>
      <w:r>
        <w:rPr>
          <w:sz w:val="22"/>
          <w:szCs w:val="22"/>
        </w:rPr>
        <w:t xml:space="preserve">Implement inference recomputation service (port the noisy-OR logic from `baseline_infer` in the generator).</w:t>
      </w:r>
    </w:p>
    <w:p>
      <w:pPr>
        <w:pStyle w:val="ListParagraph"/>
        <w:numPr>
          <w:ilvl w:val="0"/>
          <w:numId w:val="2"/>
        </w:numPr>
        <w:spacing w:after="60"/>
      </w:pPr>
      <w:r>
        <w:rPr>
          <w:sz w:val="22"/>
          <w:szCs w:val="22"/>
        </w:rPr>
        <w:t xml:space="preserve">Acceptance: `make seed` populates the DB, `GET /book` returns rows, `GET /clients/{id}` returns a client with signals.</w:t>
      </w:r>
    </w:p>
    <w:p>
      <w:pPr>
        <w:pStyle w:val="Heading2"/>
        <w:spacing w:after="140" w:before="280"/>
      </w:pPr>
      <w:r>
        <w:rPr>
          <w:b/>
          <w:bCs/>
          <w:color w:val="2E75B6"/>
          <w:sz w:val="26"/>
          <w:szCs w:val="26"/>
        </w:rPr>
        <w:t xml:space="preserve">15.4 Phase 2 — Model Router + Settings (60 min)</w:t>
      </w:r>
    </w:p>
    <w:p>
      <w:pPr>
        <w:pStyle w:val="ListParagraph"/>
        <w:numPr>
          <w:ilvl w:val="0"/>
          <w:numId w:val="2"/>
        </w:numPr>
        <w:spacing w:after="60"/>
      </w:pPr>
      <w:r>
        <w:rPr>
          <w:sz w:val="22"/>
          <w:szCs w:val="22"/>
        </w:rPr>
        <w:t xml:space="preserve">Implement `LLMProvider` protocol and the four concrete providers (Anthropic, Google, Bedrock, Mock).</w:t>
      </w:r>
    </w:p>
    <w:p>
      <w:pPr>
        <w:pStyle w:val="ListParagraph"/>
        <w:numPr>
          <w:ilvl w:val="0"/>
          <w:numId w:val="2"/>
        </w:numPr>
        <w:spacing w:after="60"/>
      </w:pPr>
      <w:r>
        <w:rPr>
          <w:sz w:val="22"/>
          <w:szCs w:val="22"/>
        </w:rPr>
        <w:t xml:space="preserve">Router class that dispatches by task.</w:t>
      </w:r>
    </w:p>
    <w:p>
      <w:pPr>
        <w:pStyle w:val="ListParagraph"/>
        <w:numPr>
          <w:ilvl w:val="0"/>
          <w:numId w:val="2"/>
        </w:numPr>
        <w:spacing w:after="60"/>
      </w:pPr>
      <w:r>
        <w:rPr>
          <w:sz w:val="22"/>
          <w:szCs w:val="22"/>
        </w:rPr>
        <w:t xml:space="preserve">Settings API + Settings screen (Screen S). Mock provider is the default so the app works with no keys.</w:t>
      </w:r>
    </w:p>
    <w:p>
      <w:pPr>
        <w:pStyle w:val="ListParagraph"/>
        <w:numPr>
          <w:ilvl w:val="0"/>
          <w:numId w:val="2"/>
        </w:numPr>
        <w:spacing w:after="60"/>
      </w:pPr>
      <w:r>
        <w:rPr>
          <w:sz w:val="22"/>
          <w:szCs w:val="22"/>
        </w:rPr>
        <w:t xml:space="preserve">`Test connection` endpoint per provider.</w:t>
      </w:r>
    </w:p>
    <w:p>
      <w:pPr>
        <w:pStyle w:val="ListParagraph"/>
        <w:numPr>
          <w:ilvl w:val="0"/>
          <w:numId w:val="2"/>
        </w:numPr>
        <w:spacing w:after="60"/>
      </w:pPr>
      <w:r>
        <w:rPr>
          <w:sz w:val="22"/>
          <w:szCs w:val="22"/>
        </w:rPr>
        <w:t xml:space="preserve">Fernet encryption for secret settings; keyring integration.</w:t>
      </w:r>
    </w:p>
    <w:p>
      <w:pPr>
        <w:pStyle w:val="ListParagraph"/>
        <w:numPr>
          <w:ilvl w:val="0"/>
          <w:numId w:val="2"/>
        </w:numPr>
        <w:spacing w:after="60"/>
      </w:pPr>
      <w:r>
        <w:rPr>
          <w:sz w:val="22"/>
          <w:szCs w:val="22"/>
        </w:rPr>
        <w:t xml:space="preserve">Acceptance: Settings page lets you configure a provider and successfully test it. Router returns a completion via the configured provider. Mock provider produces deterministic canned output.</w:t>
      </w:r>
    </w:p>
    <w:p>
      <w:pPr>
        <w:pStyle w:val="Heading2"/>
        <w:spacing w:after="140" w:before="280"/>
      </w:pPr>
      <w:r>
        <w:rPr>
          <w:b/>
          <w:bCs/>
          <w:color w:val="2E75B6"/>
          <w:sz w:val="26"/>
          <w:szCs w:val="26"/>
        </w:rPr>
        <w:t xml:space="preserve">15.5 Phase 3 — Book, Client, Evidence Screens (90 min)</w:t>
      </w:r>
    </w:p>
    <w:p>
      <w:pPr>
        <w:pStyle w:val="ListParagraph"/>
        <w:numPr>
          <w:ilvl w:val="0"/>
          <w:numId w:val="2"/>
        </w:numPr>
        <w:spacing w:after="60"/>
      </w:pPr>
      <w:r>
        <w:rPr>
          <w:sz w:val="22"/>
          <w:szCs w:val="22"/>
        </w:rPr>
        <w:t xml:space="preserve">Build Screens 1, 2, 3 (Book, Client, Evidence Panel).</w:t>
      </w:r>
    </w:p>
    <w:p>
      <w:pPr>
        <w:pStyle w:val="ListParagraph"/>
        <w:numPr>
          <w:ilvl w:val="0"/>
          <w:numId w:val="2"/>
        </w:numPr>
        <w:spacing w:after="60"/>
      </w:pPr>
      <w:r>
        <w:rPr>
          <w:sz w:val="22"/>
          <w:szCs w:val="22"/>
        </w:rPr>
        <w:t xml:space="preserve">Actionable and Watchlist tabs on Book; the split is enforced in the API.</w:t>
      </w:r>
    </w:p>
    <w:p>
      <w:pPr>
        <w:pStyle w:val="ListParagraph"/>
        <w:numPr>
          <w:ilvl w:val="0"/>
          <w:numId w:val="2"/>
        </w:numPr>
        <w:spacing w:after="60"/>
      </w:pPr>
      <w:r>
        <w:rPr>
          <w:sz w:val="22"/>
          <w:szCs w:val="22"/>
        </w:rPr>
        <w:t xml:space="preserve">Confidence badge component, regime badge component.</w:t>
      </w:r>
    </w:p>
    <w:p>
      <w:pPr>
        <w:pStyle w:val="ListParagraph"/>
        <w:numPr>
          <w:ilvl w:val="0"/>
          <w:numId w:val="2"/>
        </w:numPr>
        <w:spacing w:after="60"/>
      </w:pPr>
      <w:r>
        <w:rPr>
          <w:sz w:val="22"/>
          <w:szCs w:val="22"/>
        </w:rPr>
        <w:t xml:space="preserve">Regime filter working.</w:t>
      </w:r>
    </w:p>
    <w:p>
      <w:pPr>
        <w:pStyle w:val="ListParagraph"/>
        <w:numPr>
          <w:ilvl w:val="0"/>
          <w:numId w:val="2"/>
        </w:numPr>
        <w:spacing w:after="60"/>
      </w:pPr>
      <w:r>
        <w:rPr>
          <w:sz w:val="22"/>
          <w:szCs w:val="22"/>
        </w:rPr>
        <w:t xml:space="preserve">Acceptance: Navigate from Book -&gt; Client -&gt; Evidence Panel. Evidence panel shows the noisy-OR steps. A silo client visibly lands on the Watchlist with a legible abstain reason.</w:t>
      </w:r>
    </w:p>
    <w:p>
      <w:pPr>
        <w:pStyle w:val="Heading2"/>
        <w:spacing w:after="140" w:before="280"/>
      </w:pPr>
      <w:r>
        <w:rPr>
          <w:b/>
          <w:bCs/>
          <w:color w:val="2E75B6"/>
          <w:sz w:val="26"/>
          <w:szCs w:val="26"/>
        </w:rPr>
        <w:t xml:space="preserve">15.6 Phase 4 — Recommendation + Compliance (90 min)</w:t>
      </w:r>
    </w:p>
    <w:p>
      <w:pPr>
        <w:pStyle w:val="ListParagraph"/>
        <w:numPr>
          <w:ilvl w:val="0"/>
          <w:numId w:val="2"/>
        </w:numPr>
        <w:spacing w:after="60"/>
      </w:pPr>
      <w:r>
        <w:rPr>
          <w:sz w:val="22"/>
          <w:szCs w:val="22"/>
        </w:rPr>
        <w:t xml:space="preserve">Implement recommender service calling the model router with the play_generation prompt.</w:t>
      </w:r>
    </w:p>
    <w:p>
      <w:pPr>
        <w:pStyle w:val="ListParagraph"/>
        <w:numPr>
          <w:ilvl w:val="0"/>
          <w:numId w:val="2"/>
        </w:numPr>
        <w:spacing w:after="60"/>
      </w:pPr>
      <w:r>
        <w:rPr>
          <w:sz w:val="22"/>
          <w:szCs w:val="22"/>
        </w:rPr>
        <w:t xml:space="preserve">Implement compliance gauntlet in the order specified in Section 7.1.</w:t>
      </w:r>
    </w:p>
    <w:p>
      <w:pPr>
        <w:pStyle w:val="ListParagraph"/>
        <w:numPr>
          <w:ilvl w:val="0"/>
          <w:numId w:val="2"/>
        </w:numPr>
        <w:spacing w:after="60"/>
      </w:pPr>
      <w:r>
        <w:rPr>
          <w:sz w:val="22"/>
          <w:szCs w:val="22"/>
        </w:rPr>
        <w:t xml:space="preserve">Grounding check uses independent verifier prompt on a DIFFERENT provider when available.</w:t>
      </w:r>
    </w:p>
    <w:p>
      <w:pPr>
        <w:pStyle w:val="ListParagraph"/>
        <w:numPr>
          <w:ilvl w:val="0"/>
          <w:numId w:val="2"/>
        </w:numPr>
        <w:spacing w:after="60"/>
      </w:pPr>
      <w:r>
        <w:rPr>
          <w:sz w:val="22"/>
          <w:szCs w:val="22"/>
        </w:rPr>
        <w:t xml:space="preserve">Build Screens 4 and 5 (Recommendation, Compliance Result).</w:t>
      </w:r>
    </w:p>
    <w:p>
      <w:pPr>
        <w:pStyle w:val="ListParagraph"/>
        <w:numPr>
          <w:ilvl w:val="0"/>
          <w:numId w:val="2"/>
        </w:numPr>
        <w:spacing w:after="60"/>
      </w:pPr>
      <w:r>
        <w:rPr>
          <w:sz w:val="22"/>
          <w:szCs w:val="22"/>
        </w:rPr>
        <w:t xml:space="preserve">Seed the DB with one client whose recommendation is guaranteed to be BLOCKED (jurisdiction mismatch) for demo purposes.</w:t>
      </w:r>
    </w:p>
    <w:p>
      <w:pPr>
        <w:pStyle w:val="ListParagraph"/>
        <w:numPr>
          <w:ilvl w:val="0"/>
          <w:numId w:val="2"/>
        </w:numPr>
        <w:spacing w:after="60"/>
      </w:pPr>
      <w:r>
        <w:rPr>
          <w:sz w:val="22"/>
          <w:szCs w:val="22"/>
        </w:rPr>
        <w:t xml:space="preserve">Acceptance: Generate a recommendation on any surfaced client. Watch the compliance badge resolve. Blocked-recommendation client shows the BLOCK verdict with legible rationale.</w:t>
      </w:r>
    </w:p>
    <w:p>
      <w:pPr>
        <w:pStyle w:val="Heading2"/>
        <w:spacing w:after="140" w:before="280"/>
      </w:pPr>
      <w:r>
        <w:rPr>
          <w:b/>
          <w:bCs/>
          <w:color w:val="2E75B6"/>
          <w:sz w:val="26"/>
          <w:szCs w:val="26"/>
        </w:rPr>
        <w:t xml:space="preserve">15.7 Phase 5 — Advisor Edit, Projection, Audit (60 min)</w:t>
      </w:r>
    </w:p>
    <w:p>
      <w:pPr>
        <w:pStyle w:val="ListParagraph"/>
        <w:numPr>
          <w:ilvl w:val="0"/>
          <w:numId w:val="2"/>
        </w:numPr>
        <w:spacing w:after="60"/>
      </w:pPr>
      <w:r>
        <w:rPr>
          <w:sz w:val="22"/>
          <w:szCs w:val="22"/>
        </w:rPr>
        <w:t xml:space="preserve">Build Screens 6, 7, A.</w:t>
      </w:r>
    </w:p>
    <w:p>
      <w:pPr>
        <w:pStyle w:val="ListParagraph"/>
        <w:numPr>
          <w:ilvl w:val="0"/>
          <w:numId w:val="2"/>
        </w:numPr>
        <w:spacing w:after="60"/>
      </w:pPr>
      <w:r>
        <w:rPr>
          <w:sz w:val="22"/>
          <w:szCs w:val="22"/>
        </w:rPr>
        <w:t xml:space="preserve">Implement hash-chained audit log with `POST /audit/verify`.</w:t>
      </w:r>
    </w:p>
    <w:p>
      <w:pPr>
        <w:pStyle w:val="ListParagraph"/>
        <w:numPr>
          <w:ilvl w:val="0"/>
          <w:numId w:val="2"/>
        </w:numPr>
        <w:spacing w:after="60"/>
      </w:pPr>
      <w:r>
        <w:rPr>
          <w:sz w:val="22"/>
          <w:szCs w:val="22"/>
        </w:rPr>
        <w:t xml:space="preserve">Advisor rejection reasons dropdown; write to audit log.</w:t>
      </w:r>
    </w:p>
    <w:p>
      <w:pPr>
        <w:pStyle w:val="ListParagraph"/>
        <w:numPr>
          <w:ilvl w:val="0"/>
          <w:numId w:val="2"/>
        </w:numPr>
        <w:spacing w:after="60"/>
      </w:pPr>
      <w:r>
        <w:rPr>
          <w:sz w:val="22"/>
          <w:szCs w:val="22"/>
        </w:rPr>
        <w:t xml:space="preserve">Acceptance: Approve a recommendation. See it in the audit log. Verify the chain. Reject one with a reason and confirm it is also logged.</w:t>
      </w:r>
    </w:p>
    <w:p>
      <w:pPr>
        <w:pStyle w:val="Heading2"/>
        <w:spacing w:after="140" w:before="280"/>
      </w:pPr>
      <w:r>
        <w:rPr>
          <w:b/>
          <w:bCs/>
          <w:color w:val="2E75B6"/>
          <w:sz w:val="26"/>
          <w:szCs w:val="26"/>
        </w:rPr>
        <w:t xml:space="preserve">15.8 Phase 6 — Opportunity Simulator (75 min)</w:t>
      </w:r>
    </w:p>
    <w:p>
      <w:pPr>
        <w:pStyle w:val="ListParagraph"/>
        <w:numPr>
          <w:ilvl w:val="0"/>
          <w:numId w:val="2"/>
        </w:numPr>
        <w:spacing w:after="60"/>
      </w:pPr>
      <w:r>
        <w:rPr>
          <w:sz w:val="22"/>
          <w:szCs w:val="22"/>
        </w:rPr>
        <w:t xml:space="preserve">Implement simulator service with deterministic financial math.</w:t>
      </w:r>
    </w:p>
    <w:p>
      <w:pPr>
        <w:pStyle w:val="ListParagraph"/>
        <w:numPr>
          <w:ilvl w:val="0"/>
          <w:numId w:val="2"/>
        </w:numPr>
        <w:spacing w:after="60"/>
      </w:pPr>
      <w:r>
        <w:rPr>
          <w:sz w:val="22"/>
          <w:szCs w:val="22"/>
        </w:rPr>
        <w:t xml:space="preserve">Wire LLM narrative call.</w:t>
      </w:r>
    </w:p>
    <w:p>
      <w:pPr>
        <w:pStyle w:val="ListParagraph"/>
        <w:numPr>
          <w:ilvl w:val="0"/>
          <w:numId w:val="2"/>
        </w:numPr>
        <w:spacing w:after="60"/>
      </w:pPr>
      <w:r>
        <w:rPr>
          <w:sz w:val="22"/>
          <w:szCs w:val="22"/>
        </w:rPr>
        <w:t xml:space="preserve">Build simulator screen with slider, product mix editor, horizon selector.</w:t>
      </w:r>
    </w:p>
    <w:p>
      <w:pPr>
        <w:pStyle w:val="ListParagraph"/>
        <w:numPr>
          <w:ilvl w:val="0"/>
          <w:numId w:val="2"/>
        </w:numPr>
        <w:spacing w:after="60"/>
      </w:pPr>
      <w:r>
        <w:rPr>
          <w:sz w:val="22"/>
          <w:szCs w:val="22"/>
        </w:rPr>
        <w:t xml:space="preserve">Acceptance: Move the consolidation slider on a top client and see projections update in real time.</w:t>
      </w:r>
    </w:p>
    <w:p>
      <w:pPr>
        <w:pStyle w:val="Heading2"/>
        <w:spacing w:after="140" w:before="280"/>
      </w:pPr>
      <w:r>
        <w:rPr>
          <w:b/>
          <w:bCs/>
          <w:color w:val="2E75B6"/>
          <w:sz w:val="26"/>
          <w:szCs w:val="26"/>
        </w:rPr>
        <w:t xml:space="preserve">15.9 Phase 7 — Polish (remaining time)</w:t>
      </w:r>
    </w:p>
    <w:p>
      <w:pPr>
        <w:pStyle w:val="ListParagraph"/>
        <w:numPr>
          <w:ilvl w:val="0"/>
          <w:numId w:val="2"/>
        </w:numPr>
        <w:spacing w:after="60"/>
      </w:pPr>
      <w:r>
        <w:rPr>
          <w:sz w:val="22"/>
          <w:szCs w:val="22"/>
        </w:rPr>
        <w:t xml:space="preserve">Empty states, loading states, error states.</w:t>
      </w:r>
    </w:p>
    <w:p>
      <w:pPr>
        <w:pStyle w:val="ListParagraph"/>
        <w:numPr>
          <w:ilvl w:val="0"/>
          <w:numId w:val="2"/>
        </w:numPr>
        <w:spacing w:after="60"/>
      </w:pPr>
      <w:r>
        <w:rPr>
          <w:sz w:val="22"/>
          <w:szCs w:val="22"/>
        </w:rPr>
        <w:t xml:space="preserve">Keyboard shortcuts (j/k to navigate list, / to search).</w:t>
      </w:r>
    </w:p>
    <w:p>
      <w:pPr>
        <w:pStyle w:val="ListParagraph"/>
        <w:numPr>
          <w:ilvl w:val="0"/>
          <w:numId w:val="2"/>
        </w:numPr>
        <w:spacing w:after="60"/>
      </w:pPr>
      <w:r>
        <w:rPr>
          <w:sz w:val="22"/>
          <w:szCs w:val="22"/>
        </w:rPr>
        <w:t xml:space="preserve">KPI strip on Book Overview.</w:t>
      </w:r>
    </w:p>
    <w:p>
      <w:pPr>
        <w:pStyle w:val="ListParagraph"/>
        <w:numPr>
          <w:ilvl w:val="0"/>
          <w:numId w:val="2"/>
        </w:numPr>
        <w:spacing w:after="60"/>
      </w:pPr>
      <w:r>
        <w:rPr>
          <w:sz w:val="22"/>
          <w:szCs w:val="22"/>
        </w:rPr>
        <w:t xml:space="preserve">Diagnostics panel on Settings with regime breakdown chart.</w:t>
      </w:r>
    </w:p>
    <w:p>
      <w:pPr>
        <w:pStyle w:val="ListParagraph"/>
        <w:numPr>
          <w:ilvl w:val="0"/>
          <w:numId w:val="2"/>
        </w:numPr>
        <w:spacing w:after="60"/>
      </w:pPr>
      <w:r>
        <w:rPr>
          <w:sz w:val="22"/>
          <w:szCs w:val="22"/>
        </w:rPr>
        <w:t xml:space="preserve">Demo script rehearsal path documented in README.</w:t>
      </w:r>
    </w:p>
    <w:p>
      <w:pPr>
        <w:pStyle w:val="Heading2"/>
        <w:spacing w:after="140" w:before="280"/>
      </w:pPr>
      <w:r>
        <w:rPr>
          <w:b/>
          <w:bCs/>
          <w:color w:val="2E75B6"/>
          <w:sz w:val="26"/>
          <w:szCs w:val="26"/>
        </w:rPr>
        <w:t xml:space="preserve">15.10 Instructions to Claude Code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Guidance: </w:t>
      </w:r>
      <w:r>
        <w:rPr>
          <w:sz w:val="22"/>
          <w:szCs w:val="22"/>
        </w:rPr>
        <w:t xml:space="preserve">Follow the phases in order. After each phase, run and verify the acceptance criteria explicitly — do not proceed on assumption. Prefer the Mock provider everywhere in tests. When in doubt about a design detail not covered in this PRD, favor simplicity and demo velocity over architectural purity — this is hackathon software. Write tests only for the ranker, the inferer, and the audit chain (the three components whose correctness is not visually obvious). Everything else is verified by demoing it.</w:t>
      </w:r>
    </w:p>
    <w:p>
      <w:r>
        <w:br w:type="page"/>
      </w:r>
    </w:p>
    <w:p>
      <w:pPr>
        <w:pStyle w:val="Heading1"/>
        <w:spacing w:after="180" w:before="360"/>
      </w:pPr>
      <w:r>
        <w:rPr>
          <w:b/>
          <w:bCs/>
          <w:color w:val="1F4E79"/>
          <w:sz w:val="32"/>
          <w:szCs w:val="32"/>
        </w:rPr>
        <w:t xml:space="preserve">16. Post-Hackathon Scope</w:t>
      </w:r>
    </w:p>
    <w:p>
      <w:pPr>
        <w:spacing w:after="120"/>
      </w:pPr>
      <w:r>
        <w:rPr>
          <w:sz w:val="22"/>
          <w:szCs w:val="22"/>
        </w:rPr>
        <w:t xml:space="preserve">Deferred from MVP so scope is explicit. If Gravity progresses beyond the hackathon, these are the priority-ordered next investments.</w:t>
      </w:r>
    </w:p>
    <w:p>
      <w:pPr>
        <w:pStyle w:val="ListParagraph"/>
        <w:numPr>
          <w:ilvl w:val="0"/>
          <w:numId w:val="2"/>
        </w:numPr>
        <w:spacing w:after="60"/>
      </w:pPr>
      <w:r>
        <w:rPr>
          <w:sz w:val="22"/>
          <w:szCs w:val="22"/>
        </w:rPr>
        <w:t xml:space="preserve">Real Citi data connectors: cash-management feed, lending disclosures, aggregation product, licensed consortium data.</w:t>
      </w:r>
    </w:p>
    <w:p>
      <w:pPr>
        <w:pStyle w:val="ListParagraph"/>
        <w:numPr>
          <w:ilvl w:val="0"/>
          <w:numId w:val="2"/>
        </w:numPr>
        <w:spacing w:after="60"/>
      </w:pPr>
      <w:r>
        <w:rPr>
          <w:sz w:val="22"/>
          <w:szCs w:val="22"/>
        </w:rPr>
        <w:t xml:space="preserve">Full compliance rules engine: 12+ controls, jurisdiction-aware, IPS-integrated, driven by real policy content.</w:t>
      </w:r>
    </w:p>
    <w:p>
      <w:pPr>
        <w:pStyle w:val="ListParagraph"/>
        <w:numPr>
          <w:ilvl w:val="0"/>
          <w:numId w:val="2"/>
        </w:numPr>
        <w:spacing w:after="60"/>
      </w:pPr>
      <w:r>
        <w:rPr>
          <w:sz w:val="22"/>
          <w:szCs w:val="22"/>
        </w:rPr>
        <w:t xml:space="preserve">Feedback loop: advisor rejection reasons feed ranker retraining.</w:t>
      </w:r>
    </w:p>
    <w:p>
      <w:pPr>
        <w:pStyle w:val="ListParagraph"/>
        <w:numPr>
          <w:ilvl w:val="0"/>
          <w:numId w:val="2"/>
        </w:numPr>
        <w:spacing w:after="60"/>
      </w:pPr>
      <w:r>
        <w:rPr>
          <w:sz w:val="22"/>
          <w:szCs w:val="22"/>
        </w:rPr>
        <w:t xml:space="preserve">Real-time ACATS/wire tracking to close the loop from opportunity to realized net flow.</w:t>
      </w:r>
    </w:p>
    <w:p>
      <w:pPr>
        <w:pStyle w:val="ListParagraph"/>
        <w:numPr>
          <w:ilvl w:val="0"/>
          <w:numId w:val="2"/>
        </w:numPr>
        <w:spacing w:after="60"/>
      </w:pPr>
      <w:r>
        <w:rPr>
          <w:sz w:val="22"/>
          <w:szCs w:val="22"/>
        </w:rPr>
        <w:t xml:space="preserve">Household graph enrichment from trust and business-entity data.</w:t>
      </w:r>
    </w:p>
    <w:p>
      <w:pPr>
        <w:pStyle w:val="ListParagraph"/>
        <w:numPr>
          <w:ilvl w:val="0"/>
          <w:numId w:val="2"/>
        </w:numPr>
        <w:spacing w:after="60"/>
      </w:pPr>
      <w:r>
        <w:rPr>
          <w:sz w:val="22"/>
          <w:szCs w:val="22"/>
        </w:rPr>
        <w:t xml:space="preserve">Client-facing companion: a client-visible "total net worth" dashboard that also serves as the aggregation-opt-in flow — converts silo clients into consented_aggregation over time.</w:t>
      </w:r>
    </w:p>
    <w:p>
      <w:pPr>
        <w:pStyle w:val="ListParagraph"/>
        <w:numPr>
          <w:ilvl w:val="0"/>
          <w:numId w:val="2"/>
        </w:numPr>
        <w:spacing w:after="60"/>
      </w:pPr>
      <w:r>
        <w:rPr>
          <w:sz w:val="22"/>
          <w:szCs w:val="22"/>
        </w:rPr>
        <w:t xml:space="preserve">Model monitoring: drift detection, hallucination-rate tracking, calibration alerts.</w:t>
      </w:r>
    </w:p>
    <w:p>
      <w:pPr>
        <w:pStyle w:val="ListParagraph"/>
        <w:numPr>
          <w:ilvl w:val="0"/>
          <w:numId w:val="2"/>
        </w:numPr>
        <w:spacing w:after="60"/>
      </w:pPr>
      <w:r>
        <w:rPr>
          <w:sz w:val="22"/>
          <w:szCs w:val="22"/>
        </w:rPr>
        <w:t xml:space="preserve">Fine-tuned specialization: task-specific fine-tunes for play generation once real advisor edits provide preference data.</w:t>
      </w:r>
    </w:p>
    <w:p>
      <w:pPr>
        <w:pStyle w:val="ListParagraph"/>
        <w:numPr>
          <w:ilvl w:val="0"/>
          <w:numId w:val="2"/>
        </w:numPr>
        <w:spacing w:after="60"/>
      </w:pPr>
      <w:r>
        <w:rPr>
          <w:sz w:val="22"/>
          <w:szCs w:val="22"/>
        </w:rPr>
        <w:t xml:space="preserve">Multi-tenant deployment, SSO, RBAC.</w:t>
      </w:r>
    </w:p>
    <w:p>
      <w:r>
        <w:br w:type="page"/>
      </w:r>
    </w:p>
    <w:p>
      <w:pPr>
        <w:pStyle w:val="Heading1"/>
        <w:spacing w:after="180" w:before="360"/>
      </w:pPr>
      <w:r>
        <w:rPr>
          <w:b/>
          <w:bCs/>
          <w:color w:val="1F4E79"/>
          <w:sz w:val="32"/>
          <w:szCs w:val="32"/>
        </w:rPr>
        <w:t xml:space="preserve">17. Open Questions</w:t>
      </w:r>
    </w:p>
    <w:p>
      <w:pPr>
        <w:spacing w:after="120"/>
      </w:pPr>
      <w:r>
        <w:rPr>
          <w:sz w:val="22"/>
          <w:szCs w:val="22"/>
        </w:rPr>
        <w:t xml:space="preserve">Explicit list of decisions not yet made. Resolve before or during Phase 0.</w:t>
      </w:r>
    </w:p>
    <w:p>
      <w:pPr>
        <w:pStyle w:val="ListParagraph"/>
        <w:numPr>
          <w:ilvl w:val="0"/>
          <w:numId w:val="3"/>
        </w:numPr>
        <w:spacing w:after="60"/>
      </w:pPr>
      <w:r>
        <w:rPr>
          <w:sz w:val="22"/>
          <w:szCs w:val="22"/>
        </w:rPr>
        <w:t xml:space="preserve">Which specific model IDs will the hackathon issue keys for? Update Settings defaults accordingly.</w:t>
      </w:r>
    </w:p>
    <w:p>
      <w:pPr>
        <w:pStyle w:val="ListParagraph"/>
        <w:numPr>
          <w:ilvl w:val="0"/>
          <w:numId w:val="3"/>
        </w:numPr>
        <w:spacing w:after="60"/>
      </w:pPr>
      <w:r>
        <w:rPr>
          <w:sz w:val="22"/>
          <w:szCs w:val="22"/>
        </w:rPr>
        <w:t xml:space="preserve">Does the hackathon environment support outbound HTTPS to all three providers, or are some restricted?</w:t>
      </w:r>
    </w:p>
    <w:p>
      <w:pPr>
        <w:pStyle w:val="ListParagraph"/>
        <w:numPr>
          <w:ilvl w:val="0"/>
          <w:numId w:val="3"/>
        </w:numPr>
        <w:spacing w:after="60"/>
      </w:pPr>
      <w:r>
        <w:rPr>
          <w:sz w:val="22"/>
          <w:szCs w:val="22"/>
        </w:rPr>
        <w:t xml:space="preserve">Is there a preferred Citi visual identity (colors, logo usage) for the demo, or is a neutral clean design acceptable?</w:t>
      </w:r>
    </w:p>
    <w:p>
      <w:pPr>
        <w:pStyle w:val="ListParagraph"/>
        <w:numPr>
          <w:ilvl w:val="0"/>
          <w:numId w:val="3"/>
        </w:numPr>
        <w:spacing w:after="60"/>
      </w:pPr>
      <w:r>
        <w:rPr>
          <w:sz w:val="22"/>
          <w:szCs w:val="22"/>
        </w:rPr>
        <w:t xml:space="preserve">For the blocked-recommendation demo moment, is jurisdiction mismatch the best example, or would concentration violation land better with judges?</w:t>
      </w:r>
    </w:p>
    <w:p>
      <w:pPr>
        <w:pStyle w:val="ListParagraph"/>
        <w:numPr>
          <w:ilvl w:val="0"/>
          <w:numId w:val="3"/>
        </w:numPr>
        <w:spacing w:after="60"/>
      </w:pPr>
      <w:r>
        <w:rPr>
          <w:sz w:val="22"/>
          <w:szCs w:val="22"/>
        </w:rPr>
        <w:t xml:space="preserve">Team-size implication: do we need a lightweight multi-user mode where each judge can log in and see their own state, or is a single-user demo sufficient?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Gravity PRD</dc:title>
  <dc:creator>Gravity Team</dc:creator>
  <dc:description>Product Requirements Document for the Gravity Wealth Consolidation Intelligence system</dc:description>
  <cp:lastModifiedBy>Un-named</cp:lastModifiedBy>
  <cp:revision>1</cp:revision>
  <dcterms:created xsi:type="dcterms:W3CDTF">2026-07-09T05:37:25.556Z</dcterms:created>
  <dcterms:modified xsi:type="dcterms:W3CDTF">2026-07-09T05:37:25.569Z</dcterms:modified>
</cp:coreProperties>
</file>

<file path=docProps/custom.xml><?xml version="1.0" encoding="utf-8"?>
<Properties xmlns="http://schemas.openxmlformats.org/officeDocument/2006/custom-properties" xmlns:vt="http://schemas.openxmlformats.org/officeDocument/2006/docPropsVTypes"/>
</file>