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SPEC CODEX — EdgeChoiceEpts.computeRigidTransform()</w:t>
      </w:r>
    </w:p>
    <w:p>
      <w:pPr>
        <w:jc w:val="center"/>
      </w:pPr>
      <w:r>
        <w:rPr>
          <w:i/>
          <w:sz w:val="24"/>
        </w:rPr>
        <w:t>Phase 0 (prérequis) — Manuel + Automatique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Projet</w:t>
            </w:r>
          </w:p>
        </w:tc>
        <w:tc>
          <w:tcPr>
            <w:tcW w:type="dxa" w:w="4320"/>
          </w:tcPr>
          <w:p>
            <w:r>
              <w:t>Simulateur d’assemblage de triangles — Topologie Core</w:t>
            </w:r>
          </w:p>
        </w:tc>
      </w:tr>
      <w:tr>
        <w:tc>
          <w:tcPr>
            <w:tcW w:type="dxa" w:w="4320"/>
          </w:tcPr>
          <w:p>
            <w:r>
              <w:t>Fichier cible</w:t>
            </w:r>
          </w:p>
        </w:tc>
        <w:tc>
          <w:tcPr>
            <w:tcW w:type="dxa" w:w="4320"/>
          </w:tcPr>
          <w:p>
            <w:r>
              <w:t>assembleur_edgechoice.py</w:t>
            </w:r>
          </w:p>
        </w:tc>
      </w:tr>
      <w:tr>
        <w:tc>
          <w:tcPr>
            <w:tcW w:type="dxa" w:w="4320"/>
          </w:tcPr>
          <w:p>
            <w:r>
              <w:t>Classe</w:t>
            </w:r>
          </w:p>
        </w:tc>
        <w:tc>
          <w:tcPr>
            <w:tcW w:type="dxa" w:w="4320"/>
          </w:tcPr>
          <w:p>
            <w:r>
              <w:t>EdgeChoiceEpts</w:t>
            </w:r>
          </w:p>
        </w:tc>
      </w:tr>
      <w:tr>
        <w:tc>
          <w:tcPr>
            <w:tcW w:type="dxa" w:w="4320"/>
          </w:tcPr>
          <w:p>
            <w:r>
              <w:t>Méthode</w:t>
            </w:r>
          </w:p>
        </w:tc>
        <w:tc>
          <w:tcPr>
            <w:tcW w:type="dxa" w:w="4320"/>
          </w:tcPr>
          <w:p>
            <w:r>
              <w:t>computeRigidTransform()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Normatif (aucune option)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2026-01-30</w:t>
            </w:r>
          </w:p>
        </w:tc>
      </w:tr>
    </w:tbl>
    <w:p/>
    <w:p>
      <w:pPr>
        <w:pStyle w:val="Heading1"/>
      </w:pPr>
      <w:r>
        <w:t>1. Contexte et objectif</w:t>
      </w:r>
    </w:p>
    <w:p>
      <w:r>
        <w:t>Le projet doit utiliser une source unique de vérité pour la transformation rigide (R, T) associée à un choix d’assemblage (epts). Aujourd’hui, des variantes de calcul existent entre le mode manuel, l’assemblage automatique et la simulation de chevauchement.</w:t>
      </w:r>
    </w:p>
    <w:p>
      <w:r>
        <w:t>Objectif : introduire EdgeChoiceEpts.computeRigidTransform() afin que (R, T) soit calculé une seule fois, puis réutilisé partout (preview manuel, drop manuel, pose auto, overlap topo).</w:t>
      </w:r>
    </w:p>
    <w:p>
      <w:pPr>
        <w:pStyle w:val="Heading1"/>
      </w:pPr>
      <w:r>
        <w:t>2. Portée</w:t>
      </w:r>
    </w:p>
    <w:p>
      <w:pPr>
        <w:pStyle w:val="ListBullet"/>
      </w:pPr>
      <w:r>
        <w:t>Ajout d’une méthode computeRigidTransform() dans EdgeChoiceEpts.</w:t>
      </w:r>
    </w:p>
    <w:p>
      <w:pPr>
        <w:pStyle w:val="ListBullet"/>
      </w:pPr>
      <w:r>
        <w:t>Aucun changement de logique d’assemblage dans cette phase (uniquement refactor de calcul R/T).</w:t>
      </w:r>
    </w:p>
    <w:p>
      <w:pPr>
        <w:pStyle w:val="ListBullet"/>
      </w:pPr>
      <w:r>
        <w:t>Formats canoniques conservés : R matrice 2x2, T np.array([tx, ty]).</w:t>
      </w:r>
    </w:p>
    <w:p>
      <w:pPr>
        <w:pStyle w:val="Heading1"/>
      </w:pPr>
      <w:r>
        <w:t>3. Formats et conventions</w:t>
      </w:r>
    </w:p>
    <w:p>
      <w:r>
        <w:t>La méthode retourne les objets suivants :</w:t>
      </w:r>
    </w:p>
    <w:p>
      <w:pPr>
        <w:pStyle w:val="ListBullet"/>
      </w:pPr>
      <w:r>
        <w:t>R : np.ndarray shape (2,2) dtype=float</w:t>
      </w:r>
    </w:p>
    <w:p>
      <w:pPr>
        <w:pStyle w:val="ListBullet"/>
      </w:pPr>
      <w:r>
        <w:t>T : np.ndarray shape (2,) dtype=float</w:t>
      </w:r>
    </w:p>
    <w:p>
      <w:r>
        <w:t>La méthode ne doit produire aucune conversion en angles. Toute consommation existante doit rester compatible sans wrapper.</w:t>
      </w:r>
    </w:p>
    <w:p>
      <w:pPr>
        <w:pStyle w:val="Heading1"/>
      </w:pPr>
      <w:r>
        <w:t>4. Entrées disponibles dans EdgeChoiceEpts</w:t>
      </w:r>
    </w:p>
    <w:p>
      <w:r>
        <w:t>computeRigidTransform() n’accepte aucun paramètre et utilise uniquement les attributs de l’instance :</w:t>
      </w:r>
    </w:p>
    <w:p>
      <w:pPr>
        <w:pStyle w:val="ListBullet"/>
      </w:pPr>
      <w:r>
        <w:t>mA, mBEdgeVertex, tA, tBEdgeVertex (points 2D)</w:t>
      </w:r>
    </w:p>
    <w:p>
      <w:pPr>
        <w:pStyle w:val="ListBullet"/>
      </w:pPr>
      <w:r>
        <w:t>kind ('edge-edge' ou 'vertex-edge')</w:t>
      </w:r>
    </w:p>
    <w:p>
      <w:pPr>
        <w:pStyle w:val="ListBullet"/>
      </w:pPr>
      <w:r>
        <w:t>src_vkey_at_mA, src_vkey_at_mB, dst_vkey_at_tA, dst_vkey_at_tB (pour cohérence / debug)</w:t>
      </w:r>
    </w:p>
    <w:p>
      <w:pPr>
        <w:pStyle w:val="ListBullet"/>
      </w:pPr>
      <w:r>
        <w:t>tRaw (uniquement si kind == 'vertex-edge')</w:t>
      </w:r>
    </w:p>
    <w:p>
      <w:pPr>
        <w:pStyle w:val="ListBullet"/>
      </w:pPr>
      <w:r>
        <w:t>src_edge, dst_edge (codes d’arêtes : OB/BL/LO) — optionnel pour cohérence / debug</w:t>
      </w:r>
    </w:p>
    <w:p>
      <w:pPr>
        <w:pStyle w:val="Heading1"/>
      </w:pPr>
      <w:r>
        <w:t>5. Spécification fonctionnelle</w:t>
      </w:r>
    </w:p>
    <w:p>
      <w:r>
        <w:t>La transformation rigide (R, T) est définie comme la transformation qui satisfait :</w:t>
      </w:r>
    </w:p>
    <w:p>
      <w:r>
        <w:t>• R @ mA + T = tA</w:t>
      </w:r>
    </w:p>
    <w:p>
      <w:r>
        <w:t>• R @ mB + T = tB</w:t>
      </w:r>
    </w:p>
    <w:p>
      <w:r>
        <w:t>où mB et tB sont respectivement mBEdgeVertex et tBEdgeVertex (points sur la direction du segment d’ancrage). La contrainte ci-dessus garantit un alignement segment-à-segment (orientation + translation).</w:t>
      </w:r>
    </w:p>
    <w:p>
      <w:pPr>
        <w:pStyle w:val="Heading1"/>
      </w:pPr>
      <w:r>
        <w:t>6. Algorithme (déterministe)</w:t>
      </w:r>
    </w:p>
    <w:p>
      <w:pPr>
        <w:pStyle w:val="ListNumber"/>
      </w:pPr>
      <w:r>
        <w:t>Construire les vecteurs directeurs :</w:t>
      </w:r>
    </w:p>
    <w:p>
      <w:pPr>
        <w:pStyle w:val="ListBullet"/>
        <w:ind w:left="360"/>
      </w:pPr>
      <w:r>
        <w:t>u = mB - mA</w:t>
      </w:r>
    </w:p>
    <w:p>
      <w:pPr>
        <w:pStyle w:val="ListBullet"/>
        <w:ind w:left="360"/>
      </w:pPr>
      <w:r>
        <w:t>v = tB - tA</w:t>
      </w:r>
    </w:p>
    <w:p>
      <w:pPr>
        <w:pStyle w:val="ListNumber"/>
      </w:pPr>
      <w:r>
        <w:t>Valider les longueurs :</w:t>
      </w:r>
    </w:p>
    <w:p>
      <w:pPr>
        <w:pStyle w:val="ListBullet"/>
        <w:ind w:left="360"/>
      </w:pPr>
      <w:r>
        <w:t>Si ||u|| &lt; eps ou ||v|| &lt; eps : lever ValueError (points dégénérés).</w:t>
      </w:r>
    </w:p>
    <w:p>
      <w:pPr>
        <w:pStyle w:val="ListNumber"/>
      </w:pPr>
      <w:r>
        <w:t>Calculer l’angle de rotation entre u et v :</w:t>
      </w:r>
    </w:p>
    <w:p>
      <w:pPr>
        <w:pStyle w:val="ListBullet"/>
        <w:ind w:left="360"/>
      </w:pPr>
      <w:r>
        <w:t>cos = dot(u, v) / (||u|| * ||v||)</w:t>
      </w:r>
    </w:p>
    <w:p>
      <w:pPr>
        <w:pStyle w:val="ListBullet"/>
        <w:ind w:left="360"/>
      </w:pPr>
      <w:r>
        <w:t>sin = cross2(u, v) / (||u|| * ||v||)  (cross2(x,y)=x0*y1-x1*y0)</w:t>
      </w:r>
    </w:p>
    <w:p>
      <w:pPr>
        <w:pStyle w:val="ListNumber"/>
      </w:pPr>
      <w:r>
        <w:t>Former la matrice R :</w:t>
      </w:r>
    </w:p>
    <w:p>
      <w:pPr>
        <w:pStyle w:val="ListBullet"/>
        <w:ind w:left="360"/>
      </w:pPr>
      <w:r>
        <w:t>R = [[cos, -sin],[sin, cos]]</w:t>
      </w:r>
    </w:p>
    <w:p>
      <w:pPr>
        <w:pStyle w:val="ListNumber"/>
      </w:pPr>
      <w:r>
        <w:t>Calculer la translation T :</w:t>
      </w:r>
    </w:p>
    <w:p>
      <w:pPr>
        <w:pStyle w:val="ListBullet"/>
        <w:ind w:left="360"/>
      </w:pPr>
      <w:r>
        <w:t>T = tA - R @ mA</w:t>
      </w:r>
    </w:p>
    <w:p>
      <w:pPr>
        <w:pStyle w:val="ListNumber"/>
      </w:pPr>
      <w:r>
        <w:t>Retourner (R, T) en dtype=float.</w:t>
      </w:r>
    </w:p>
    <w:p>
      <w:pPr>
        <w:pStyle w:val="Heading1"/>
      </w:pPr>
      <w:r>
        <w:t>7. Robustesse et tolérances</w:t>
      </w:r>
    </w:p>
    <w:p>
      <w:pPr>
        <w:pStyle w:val="ListBullet"/>
      </w:pPr>
      <w:r>
        <w:t>eps = 1e-12 pour détection de segment dégénéré.</w:t>
      </w:r>
    </w:p>
    <w:p>
      <w:pPr>
        <w:pStyle w:val="ListBullet"/>
      </w:pPr>
      <w:r>
        <w:t>Clamper cos dans [-1, 1] uniquement si nécessaire (erreurs numériques).</w:t>
      </w:r>
    </w:p>
    <w:p>
      <w:pPr>
        <w:pStyle w:val="ListBullet"/>
      </w:pPr>
      <w:r>
        <w:t>Aucune logique de “pivot” dans computeRigidTransform : l’expression T = tA - R@mA suffit.</w:t>
      </w:r>
    </w:p>
    <w:p>
      <w:pPr>
        <w:pStyle w:val="Heading1"/>
      </w:pPr>
      <w:r>
        <w:t>8. Contrats d’erreurs</w:t>
      </w:r>
    </w:p>
    <w:p>
      <w:pPr>
        <w:pStyle w:val="ListBullet"/>
      </w:pPr>
      <w:r>
        <w:t>ValueError si mA==mB (ou quasi) ou tA==tB (ou quasi).</w:t>
      </w:r>
    </w:p>
    <w:p>
      <w:pPr>
        <w:pStyle w:val="ListBullet"/>
      </w:pPr>
      <w:r>
        <w:t>ValueError si mA/mB/tA/tB ne sont pas des points 2D valides.</w:t>
      </w:r>
    </w:p>
    <w:p>
      <w:pPr>
        <w:pStyle w:val="Heading1"/>
      </w:pPr>
      <w:r>
        <w:t>9. Tests attendus (unitaires)</w:t>
      </w:r>
    </w:p>
    <w:p>
      <w:pPr>
        <w:pStyle w:val="ListNumber"/>
      </w:pPr>
      <w:r>
        <w:t>Cas identité : mA=tA et mB=tB → R=I, T=0.</w:t>
      </w:r>
    </w:p>
    <w:p>
      <w:pPr>
        <w:pStyle w:val="ListNumber"/>
      </w:pPr>
      <w:r>
        <w:t>Cas rotation pure : segment mobile tourné de 90° → R correcte, T cohérente.</w:t>
      </w:r>
    </w:p>
    <w:p>
      <w:pPr>
        <w:pStyle w:val="ListNumber"/>
      </w:pPr>
      <w:r>
        <w:t>Cas translation pure : u==v mais décalé → R=I, T=tA-mA.</w:t>
      </w:r>
    </w:p>
    <w:p>
      <w:pPr>
        <w:pStyle w:val="ListNumber"/>
      </w:pPr>
      <w:r>
        <w:t>Cas bruit numérique : petites erreurs sur points → R,T stables (pas d’explosion).</w:t>
      </w:r>
    </w:p>
    <w:p>
      <w:pPr>
        <w:pStyle w:val="Heading1"/>
      </w:pPr>
      <w:r>
        <w:t>10. Critères d’acceptation</w:t>
      </w:r>
    </w:p>
    <w:p>
      <w:pPr>
        <w:pStyle w:val="ListBullet"/>
      </w:pPr>
      <w:r>
        <w:t>computeRigidTransform() retourne R (2x2) et T (2,) compatibles avec le code existant.</w:t>
      </w:r>
    </w:p>
    <w:p>
      <w:pPr>
        <w:pStyle w:val="ListBullet"/>
      </w:pPr>
      <w:r>
        <w:t>Manuel et auto peuvent supprimer leurs recalculs locaux de R/T au profit de la méthode.</w:t>
      </w:r>
    </w:p>
    <w:p>
      <w:pPr>
        <w:pStyle w:val="ListBullet"/>
      </w:pPr>
      <w:r>
        <w:t>Aucune dépendance à TopologyWorld dans computeRigidTransform().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