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595959"/>
          <w:sz w:val="28"/>
        </w:rPr>
        <w:t>SPÉCIFICATION FONCTIONNELLE</w:t>
      </w:r>
    </w:p>
    <w:p>
      <w:pPr>
        <w:pStyle w:val="Title"/>
        <w:jc w:val="center"/>
      </w:pPr>
      <w:r>
        <w:t>Catalogue de triangles et gestion des hypothèses — Version 1.1</w:t>
      </w:r>
    </w:p>
    <w:p>
      <w:pPr>
        <w:pStyle w:val="Subtitle"/>
        <w:jc w:val="center"/>
      </w:pPr>
      <w:r>
        <w:t>Projet AssembleurTriangles — base de conception UX, métier et persistance</w:t>
      </w:r>
    </w:p>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20"/>
            </w:pPr>
            <w:r>
              <w:rPr>
                <w:b/>
                <w:sz w:val="18"/>
              </w:rPr>
              <w:t>Référence</w:t>
            </w:r>
          </w:p>
        </w:tc>
        <w:tc>
          <w:tcPr>
            <w:tcW w:type="dxa" w:w="5040"/>
            <w:vAlign w:val="center"/>
          </w:tcPr>
          <w:p>
            <w:pPr>
              <w:spacing w:after="20"/>
            </w:pPr>
            <w:r>
              <w:rPr>
                <w:sz w:val="18"/>
              </w:rPr>
              <w:t>SPEC-CAT-HYP-001</w:t>
            </w:r>
          </w:p>
        </w:tc>
      </w:tr>
      <w:tr>
        <w:tc>
          <w:tcPr>
            <w:tcW w:type="dxa" w:w="5040"/>
            <w:shd w:fill="D9EAF7"/>
            <w:vAlign w:val="center"/>
          </w:tcPr>
          <w:p>
            <w:pPr>
              <w:spacing w:after="20"/>
            </w:pPr>
            <w:r>
              <w:rPr>
                <w:b/>
                <w:sz w:val="18"/>
              </w:rPr>
              <w:t>Statut</w:t>
            </w:r>
          </w:p>
        </w:tc>
        <w:tc>
          <w:tcPr>
            <w:tcW w:type="dxa" w:w="5040"/>
            <w:vAlign w:val="center"/>
          </w:tcPr>
          <w:p>
            <w:pPr>
              <w:spacing w:after="20"/>
            </w:pPr>
            <w:r>
              <w:rPr>
                <w:sz w:val="18"/>
              </w:rPr>
              <w:t>Expression de besoin consolidée</w:t>
            </w:r>
          </w:p>
        </w:tc>
      </w:tr>
      <w:tr>
        <w:tc>
          <w:tcPr>
            <w:tcW w:type="dxa" w:w="5040"/>
            <w:shd w:fill="D9EAF7"/>
            <w:vAlign w:val="center"/>
          </w:tcPr>
          <w:p>
            <w:pPr>
              <w:spacing w:after="20"/>
            </w:pPr>
            <w:r>
              <w:rPr>
                <w:b/>
                <w:sz w:val="18"/>
              </w:rPr>
              <w:t>Version</w:t>
            </w:r>
          </w:p>
        </w:tc>
        <w:tc>
          <w:tcPr>
            <w:tcW w:type="dxa" w:w="5040"/>
            <w:vAlign w:val="center"/>
          </w:tcPr>
          <w:p>
            <w:r>
              <w:t>1.1</w:t>
            </w:r>
          </w:p>
        </w:tc>
      </w:tr>
      <w:tr>
        <w:tc>
          <w:tcPr>
            <w:tcW w:type="dxa" w:w="5040"/>
            <w:shd w:fill="D9EAF7"/>
            <w:vAlign w:val="center"/>
          </w:tcPr>
          <w:p>
            <w:pPr>
              <w:spacing w:after="20"/>
            </w:pPr>
            <w:r>
              <w:rPr>
                <w:b/>
                <w:sz w:val="18"/>
              </w:rPr>
              <w:t>Date</w:t>
            </w:r>
          </w:p>
        </w:tc>
        <w:tc>
          <w:tcPr>
            <w:tcW w:type="dxa" w:w="5040"/>
            <w:vAlign w:val="center"/>
          </w:tcPr>
          <w:p>
            <w:pPr>
              <w:spacing w:after="20"/>
            </w:pPr>
            <w:r>
              <w:rPr>
                <w:sz w:val="18"/>
              </w:rPr>
              <w:t>23 juillet 2026</w:t>
            </w:r>
          </w:p>
        </w:tc>
      </w:tr>
      <w:tr>
        <w:tc>
          <w:tcPr>
            <w:tcW w:type="dxa" w:w="5040"/>
            <w:shd w:fill="D9EAF7"/>
            <w:vAlign w:val="center"/>
          </w:tcPr>
          <w:p>
            <w:pPr>
              <w:spacing w:after="20"/>
            </w:pPr>
            <w:r>
              <w:rPr>
                <w:b/>
                <w:sz w:val="18"/>
              </w:rPr>
              <w:t>Portée</w:t>
            </w:r>
          </w:p>
        </w:tc>
        <w:tc>
          <w:tcPr>
            <w:tcW w:type="dxa" w:w="5040"/>
            <w:vAlign w:val="center"/>
          </w:tcPr>
          <w:p>
            <w:r>
              <w:t>Catalogue, villes, triangles, balises, cartes, templates, hypothèse de scénario, génération automatique</w:t>
            </w:r>
          </w:p>
        </w:tc>
      </w:tr>
      <w:tr>
        <w:tc>
          <w:tcPr>
            <w:tcW w:type="dxa" w:w="5040"/>
            <w:shd w:fill="D9EAF7"/>
            <w:vAlign w:val="center"/>
          </w:tcPr>
          <w:p>
            <w:pPr>
              <w:spacing w:after="20"/>
            </w:pPr>
            <w:r>
              <w:rPr>
                <w:b/>
                <w:sz w:val="18"/>
              </w:rPr>
              <w:t>Format de persistance retenu</w:t>
            </w:r>
          </w:p>
        </w:tc>
        <w:tc>
          <w:tcPr>
            <w:tcW w:type="dxa" w:w="5040"/>
            <w:vAlign w:val="center"/>
          </w:tcPr>
          <w:p>
            <w:pPr>
              <w:spacing w:after="20"/>
            </w:pPr>
            <w:r>
              <w:rPr>
                <w:sz w:val="18"/>
              </w:rPr>
              <w:t>JSON pour le catalogue ; XML pour les scénarios</w:t>
            </w:r>
          </w:p>
        </w:tc>
      </w:tr>
    </w:tbl>
    <w:p/>
    <w:p>
      <w:pPr>
        <w:jc w:val="center"/>
      </w:pPr>
      <w:r>
        <w:rPr>
          <w:i/>
        </w:rPr>
        <w:t>Document de référence pour la prochaine phase de conception technique et UX.</w:t>
      </w:r>
    </w:p>
    <w:p>
      <w:r>
        <w:br w:type="page"/>
      </w:r>
    </w:p>
    <w:p>
      <w:pPr>
        <w:pStyle w:val="Heading1"/>
        <w:keepNext/>
        <w:keepLines/>
      </w:pPr>
      <w:r>
        <w:t>Sommaire</w:t>
      </w:r>
    </w:p>
    <w:p>
      <w:pPr>
        <w:pStyle w:val="ListBullet"/>
      </w:pPr>
      <w:r>
        <w:t>1. Objet et portée</w:t>
      </w:r>
    </w:p>
    <w:p>
      <w:pPr>
        <w:pStyle w:val="ListBullet"/>
      </w:pPr>
      <w:r>
        <w:t>2. Contexte métier</w:t>
      </w:r>
    </w:p>
    <w:p>
      <w:pPr>
        <w:pStyle w:val="ListBullet"/>
      </w:pPr>
      <w:r>
        <w:t>3. Principes d’architecture fonctionnelle</w:t>
      </w:r>
    </w:p>
    <w:p>
      <w:pPr>
        <w:pStyle w:val="ListBullet"/>
      </w:pPr>
      <w:r>
        <w:t>4. Modèle métier du catalogue</w:t>
      </w:r>
    </w:p>
    <w:p>
      <w:pPr>
        <w:pStyle w:val="ListBullet"/>
      </w:pPr>
      <w:r>
        <w:t>5. Gestion des villes</w:t>
      </w:r>
    </w:p>
    <w:p>
      <w:pPr>
        <w:pStyle w:val="ListBullet"/>
      </w:pPr>
      <w:r>
        <w:t>6. Gestion des triangles</w:t>
      </w:r>
    </w:p>
    <w:p>
      <w:pPr>
        <w:pStyle w:val="ListBullet"/>
      </w:pPr>
      <w:r>
        <w:t>7. Templates d’hypothèses</w:t>
      </w:r>
    </w:p>
    <w:p>
      <w:pPr>
        <w:pStyle w:val="ListBullet"/>
      </w:pPr>
      <w:r>
        <w:t>8. Hypothèse du scénario actif</w:t>
      </w:r>
    </w:p>
    <w:p>
      <w:pPr>
        <w:pStyle w:val="ListBullet"/>
      </w:pPr>
      <w:r>
        <w:t>9. UX cible</w:t>
      </w:r>
    </w:p>
    <w:p>
      <w:pPr>
        <w:pStyle w:val="ListBullet"/>
      </w:pPr>
      <w:r>
        <w:t>10. Règles de drag &amp; drop</w:t>
      </w:r>
    </w:p>
    <w:p>
      <w:pPr>
        <w:pStyle w:val="ListBullet"/>
      </w:pPr>
      <w:r>
        <w:t>11. Application transactionnelle à la topologie</w:t>
      </w:r>
    </w:p>
    <w:p>
      <w:pPr>
        <w:pStyle w:val="ListBullet"/>
      </w:pPr>
      <w:r>
        <w:t>12. Scénarios automatiques</w:t>
      </w:r>
    </w:p>
    <w:p>
      <w:pPr>
        <w:pStyle w:val="ListBullet"/>
      </w:pPr>
      <w:r>
        <w:t>13. Persistance et fichiers</w:t>
      </w:r>
    </w:p>
    <w:p>
      <w:pPr>
        <w:pStyle w:val="ListBullet"/>
      </w:pPr>
      <w:r>
        <w:t>14. Validation et intégrité</w:t>
      </w:r>
    </w:p>
    <w:p>
      <w:pPr>
        <w:pStyle w:val="ListBullet"/>
      </w:pPr>
      <w:r>
        <w:t>15. Import/export CSV</w:t>
      </w:r>
    </w:p>
    <w:p>
      <w:pPr>
        <w:pStyle w:val="ListBullet"/>
      </w:pPr>
      <w:r>
        <w:t>16. Traçabilité et usages</w:t>
      </w:r>
    </w:p>
    <w:p>
      <w:pPr>
        <w:pStyle w:val="ListBullet"/>
      </w:pPr>
      <w:r>
        <w:t>17. Cas d’erreur et messages UX</w:t>
      </w:r>
    </w:p>
    <w:p>
      <w:pPr>
        <w:pStyle w:val="ListBullet"/>
      </w:pPr>
      <w:r>
        <w:t>18. Exigences non fonctionnelles</w:t>
      </w:r>
    </w:p>
    <w:p>
      <w:pPr>
        <w:pStyle w:val="ListBullet"/>
      </w:pPr>
      <w:r>
        <w:t>19. Critères d’acceptation</w:t>
      </w:r>
    </w:p>
    <w:p>
      <w:pPr>
        <w:pStyle w:val="ListBullet"/>
      </w:pPr>
      <w:r>
        <w:t>20. Hors périmètre et décisions ouvertes</w:t>
      </w:r>
    </w:p>
    <w:p>
      <w:r>
        <w:br w:type="page"/>
      </w:r>
    </w:p>
    <w:p>
      <w:pPr>
        <w:pStyle w:val="Heading1"/>
        <w:keepNext/>
        <w:keepLines/>
      </w:pPr>
      <w:r>
        <w:t>1. Objet et portée</w:t>
      </w:r>
    </w:p>
    <w:p>
      <w:r>
        <w:t>Cette spécification formalise le besoin fonctionnel relatif au catalogue partagé de données, incluant les villes, triangles, balises, cartes et templates d’hypothèses, à l’hypothèse attachée au scénario manuel actif et à leur interaction avec la génération de scénarios automatiques.</w:t>
      </w:r>
    </w:p>
    <w:p>
      <w:r>
        <w:t>Elle constitue une base de conception. Elle décrit ce que le système doit faire, les règles métier à préserver, les responsabilités des différents objets et le comportement attendu de l’interface. Elle ne fixe pas encore l’architecture détaillée des classes ni les signatures d’API internes.</w:t>
      </w:r>
    </w:p>
    <w:tbl>
      <w:tblPr>
        <w:tblW w:type="auto" w:w="0"/>
        <w:jc w:val="center"/>
        <w:tblLayout w:type="autofit"/>
        <w:tblLook w:firstColumn="1" w:firstRow="1" w:lastColumn="0" w:lastRow="0" w:noHBand="0" w:noVBand="1" w:val="04A0"/>
      </w:tblPr>
      <w:tblGrid>
        <w:gridCol w:w="10080"/>
      </w:tblGrid>
      <w:tr>
        <w:tc>
          <w:tcPr>
            <w:tcW w:type="dxa" w:w="10080"/>
            <w:shd w:fill="EAF2F8"/>
            <w:vAlign w:val="center"/>
          </w:tcPr>
          <w:p>
            <w:pPr>
              <w:spacing w:after="20"/>
            </w:pPr>
            <w:r>
              <w:rPr>
                <w:b/>
                <w:color w:val="1F4E79"/>
                <w:sz w:val="18"/>
              </w:rPr>
              <w:t xml:space="preserve">Principe directeur — </w:t>
            </w:r>
            <w:r>
              <w:rPr>
                <w:sz w:val="18"/>
              </w:rPr>
              <w:t>Les données partagées et réutilisables appartiennent au catalogue. L’état propre à un scénario manuel appartient à son XML. Les scénarios automatiques sont des résultats de simulation éphémères et non éditables.</w:t>
            </w:r>
          </w:p>
        </w:tc>
      </w:tr>
    </w:tbl>
    <w:p/>
    <w:p>
      <w:pPr>
        <w:pStyle w:val="Heading2"/>
        <w:keepNext/>
        <w:keepLines/>
      </w:pPr>
      <w:r>
        <w:t>1.1 Périmètre inclus</w:t>
      </w:r>
    </w:p>
    <w:p>
      <w:pPr>
        <w:pStyle w:val="ListBullet"/>
      </w:pPr>
      <w:r>
        <w:t>Gestion des villes utilisées par les triangles et les balises.</w:t>
      </w:r>
    </w:p>
    <w:p>
      <w:pPr>
        <w:pStyle w:val="ListBullet"/>
      </w:pPr>
      <w:r>
        <w:t>Gestion du catalogue des triangles candidats.</w:t>
      </w:r>
    </w:p>
    <w:p>
      <w:pPr>
        <w:pStyle w:val="ListBullet"/>
      </w:pPr>
      <w:r>
        <w:t>Gestion des balises géographiques et des cartes partagées.</w:t>
      </w:r>
    </w:p>
    <w:p>
      <w:pPr>
        <w:pStyle w:val="ListBullet"/>
      </w:pPr>
      <w:r>
        <w:t>Gestion de templates complets d’hypothèses de 32 rangs.</w:t>
      </w:r>
    </w:p>
    <w:p>
      <w:pPr>
        <w:pStyle w:val="ListBullet"/>
      </w:pPr>
      <w:r>
        <w:t>Édition transactionnelle de l’hypothèse du scénario manuel actif.</w:t>
      </w:r>
    </w:p>
    <w:p>
      <w:pPr>
        <w:pStyle w:val="ListBullet"/>
      </w:pPr>
      <w:r>
        <w:t>Drag &amp; drop depuis une TreeView de triangles vers 16 couples de rangs.</w:t>
      </w:r>
    </w:p>
    <w:p>
      <w:pPr>
        <w:pStyle w:val="ListBullet"/>
      </w:pPr>
      <w:r>
        <w:t>Validation métier, détection de chevauchement et décision de dégroupage.</w:t>
      </w:r>
    </w:p>
    <w:p>
      <w:pPr>
        <w:pStyle w:val="ListBullet"/>
      </w:pPr>
      <w:r>
        <w:t>Utilisation de l’hypothèse du scénario manuel courant pour générer les scénarios automatiques.</w:t>
      </w:r>
    </w:p>
    <w:p>
      <w:pPr>
        <w:pStyle w:val="ListBullet"/>
      </w:pPr>
      <w:r>
        <w:t>Persistance JSON du catalogue et persistance XML des scénarios, incluant les références aux objets partagés.</w:t>
      </w:r>
    </w:p>
    <w:p>
      <w:pPr>
        <w:pStyle w:val="Heading2"/>
        <w:keepNext/>
        <w:keepLines/>
      </w:pPr>
      <w:r>
        <w:t>1.2 Hors périmètre de cette version</w:t>
      </w:r>
    </w:p>
    <w:p>
      <w:pPr>
        <w:pStyle w:val="ListBullet"/>
      </w:pPr>
      <w:r>
        <w:t>Édition directe de l’hypothèse d’un scénario automatique.</w:t>
      </w:r>
    </w:p>
    <w:p>
      <w:pPr>
        <w:pStyle w:val="ListBullet"/>
      </w:pPr>
      <w:r>
        <w:t>Propagation d’une modification vers un lot de scénarios automatiques existants.</w:t>
      </w:r>
    </w:p>
    <w:p>
      <w:pPr>
        <w:pStyle w:val="ListBullet"/>
      </w:pPr>
      <w:r>
        <w:t>Historisation des coordonnées des villes.</w:t>
      </w:r>
    </w:p>
    <w:p>
      <w:pPr>
        <w:pStyle w:val="ListBullet"/>
      </w:pPr>
      <w:r>
        <w:t>Base de données SQLite.</w:t>
      </w:r>
    </w:p>
    <w:p>
      <w:pPr>
        <w:pStyle w:val="ListBullet"/>
      </w:pPr>
      <w:r>
        <w:t>Collaboration multi-utilisateur ou écriture concurrente.</w:t>
      </w:r>
    </w:p>
    <w:p>
      <w:pPr>
        <w:pStyle w:val="ListBullet"/>
      </w:pPr>
      <w:r>
        <w:t>Conception technique détaillée des repositories, services et modèles Python.</w:t>
      </w:r>
    </w:p>
    <w:p>
      <w:pPr>
        <w:pStyle w:val="Heading1"/>
        <w:keepNext/>
        <w:keepLines/>
      </w:pPr>
      <w:r>
        <w:t>2. Contexte métier</w:t>
      </w:r>
    </w:p>
    <w:p>
      <w:pPr>
        <w:pStyle w:val="Heading2"/>
        <w:keepNext/>
        <w:keepLines/>
      </w:pPr>
      <w:r>
        <w:t>2.1 Origine des bases</w:t>
      </w:r>
    </w:p>
    <w:p>
      <w:r>
        <w:t>Pour chaque date historique, l’algorithme solaire produit deux points géographiques. Chacun de ces points constitue une base. Avec huit dates, le corpus actuel contient donc seize bases possibles.</w:t>
      </w:r>
    </w:p>
    <w:p>
      <w:pPr>
        <w:pStyle w:val="CodeBlock"/>
        <w:keepNext/>
        <w:keepLines/>
        <w:spacing w:after="0"/>
      </w:pPr>
      <w:r>
        <w:t>Date historique</w:t>
      </w:r>
    </w:p>
    <w:p>
      <w:pPr>
        <w:pStyle w:val="CodeBlock"/>
        <w:keepNext/>
        <w:keepLines/>
        <w:spacing w:after="0"/>
      </w:pPr>
      <w:r>
        <w:t xml:space="preserve">  └── Algorithme solaire</w:t>
      </w:r>
    </w:p>
    <w:p>
      <w:pPr>
        <w:pStyle w:val="CodeBlock"/>
        <w:keepNext/>
        <w:keepLines/>
        <w:spacing w:after="0"/>
      </w:pPr>
      <w:r>
        <w:t xml:space="preserve">       ├── Base A</w:t>
      </w:r>
    </w:p>
    <w:p>
      <w:pPr>
        <w:pStyle w:val="CodeBlock"/>
        <w:keepLines/>
        <w:spacing w:after="0"/>
      </w:pPr>
      <w:r>
        <w:t xml:space="preserve">       └── Base B</w:t>
      </w:r>
    </w:p>
    <w:p>
      <w:pPr>
        <w:pStyle w:val="Heading2"/>
        <w:keepNext/>
        <w:keepLines/>
      </w:pPr>
      <w:r>
        <w:t>2.2 Génération des lumières</w:t>
      </w:r>
    </w:p>
    <w:p>
      <w:r>
        <w:t>Pour chaque base, l’algorithme de lumière produit un nombre variable de villes candidates : zéro, deux, quatre ou six lumières, soit zéro à trois couples consécutifs. Le nombre de triangles candidats par base n’est donc pas fixe.</w:t>
      </w:r>
    </w:p>
    <w:p>
      <w:pPr>
        <w:pStyle w:val="Heading2"/>
        <w:keepNext/>
        <w:keepLines/>
      </w:pPr>
      <w:r>
        <w:t>2.3 Mini-énigmes</w:t>
      </w:r>
    </w:p>
    <w:p>
      <w:r>
        <w:t>Les mini-énigmes décodent des villes candidates. Elles ne déterminent ni la date ni la base. Une même ville peut apparaître comme lumière de plusieurs bases, et plusieurs villes peuvent être candidates pour une même mini-énigme.</w:t>
      </w:r>
    </w:p>
    <w:p>
      <w:pPr>
        <w:pStyle w:val="Heading2"/>
        <w:keepNext/>
        <w:keepLines/>
      </w:pPr>
      <w:r>
        <w:t>2.4 Validation globale</w:t>
      </w:r>
    </w:p>
    <w:p>
      <w:r>
        <w:t>Un triangle candidat n’est pas une vérité isolée. La validation finale est globale : l’assemblage des triangles doit reconstruire la frontière franco-allemande. Le catalogue contient donc un ensemble de candidats parmi lesquels les hypothèses sélectionnent et ordonnent des triangles.</w:t>
      </w:r>
    </w:p>
    <w:p>
      <w:pPr>
        <w:pStyle w:val="Heading1"/>
        <w:keepNext/>
        <w:keepLines/>
      </w:pPr>
      <w:r>
        <w:t>3. Principes d’architecture fonctionnelle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9"/>
            <w:vAlign w:val="center"/>
          </w:tcPr>
          <w:p>
            <w:pPr>
              <w:spacing w:after="20"/>
            </w:pPr>
            <w:r>
              <w:rPr>
                <w:color w:val="FFFFFF"/>
                <w:sz w:val="18"/>
              </w:rPr>
              <w:t>Objet</w:t>
            </w:r>
          </w:p>
        </w:tc>
        <w:tc>
          <w:tcPr>
            <w:tcW w:type="dxa" w:w="3360"/>
            <w:shd w:fill="1F4E79"/>
            <w:vAlign w:val="center"/>
          </w:tcPr>
          <w:p>
            <w:pPr>
              <w:spacing w:after="20"/>
            </w:pPr>
            <w:r>
              <w:rPr>
                <w:color w:val="FFFFFF"/>
                <w:sz w:val="18"/>
              </w:rPr>
              <w:t>Nature</w:t>
            </w:r>
          </w:p>
        </w:tc>
        <w:tc>
          <w:tcPr>
            <w:tcW w:type="dxa" w:w="3360"/>
            <w:shd w:fill="1F4E79"/>
            <w:vAlign w:val="center"/>
          </w:tcPr>
          <w:p>
            <w:pPr>
              <w:spacing w:after="20"/>
            </w:pPr>
            <w:r>
              <w:rPr>
                <w:color w:val="FFFFFF"/>
                <w:sz w:val="18"/>
              </w:rPr>
              <w:t>Persistance</w:t>
            </w:r>
          </w:p>
        </w:tc>
      </w:tr>
      <w:tr>
        <w:tc>
          <w:tcPr>
            <w:tcW w:type="dxa" w:w="3360"/>
            <w:vAlign w:val="center"/>
          </w:tcPr>
          <w:p>
            <w:pPr>
              <w:spacing w:after="20"/>
            </w:pPr>
            <w:r>
              <w:rPr>
                <w:sz w:val="18"/>
              </w:rPr>
              <w:t>Catalogue</w:t>
            </w:r>
          </w:p>
        </w:tc>
        <w:tc>
          <w:tcPr>
            <w:tcW w:type="dxa" w:w="3360"/>
            <w:vAlign w:val="center"/>
          </w:tcPr>
          <w:p>
            <w:r>
              <w:t>Référentiel partagé : villes, triangles, balises, cartes, templates</w:t>
            </w:r>
          </w:p>
        </w:tc>
        <w:tc>
          <w:tcPr>
            <w:tcW w:type="dxa" w:w="3360"/>
            <w:vAlign w:val="center"/>
          </w:tcPr>
          <w:p>
            <w:pPr>
              <w:spacing w:after="20"/>
            </w:pPr>
            <w:r>
              <w:rPr>
                <w:sz w:val="18"/>
              </w:rPr>
              <w:t>catalogue.json</w:t>
            </w:r>
          </w:p>
        </w:tc>
      </w:tr>
      <w:tr>
        <w:tc>
          <w:tcPr>
            <w:tcW w:type="dxa" w:w="3360"/>
            <w:vAlign w:val="center"/>
          </w:tcPr>
          <w:p>
            <w:pPr>
              <w:spacing w:after="20"/>
            </w:pPr>
            <w:r>
              <w:rPr>
                <w:sz w:val="18"/>
              </w:rPr>
              <w:t>Scénario manuel</w:t>
            </w:r>
          </w:p>
        </w:tc>
        <w:tc>
          <w:tcPr>
            <w:tcW w:type="dxa" w:w="3360"/>
            <w:vAlign w:val="center"/>
          </w:tcPr>
          <w:p>
            <w:r>
              <w:t>Document de travail persistant : hypothèse, topologie, groupes, transformations, MapId et propriétés d’affichage propres au scénario</w:t>
            </w:r>
          </w:p>
        </w:tc>
        <w:tc>
          <w:tcPr>
            <w:tcW w:type="dxa" w:w="3360"/>
            <w:vAlign w:val="center"/>
          </w:tcPr>
          <w:p>
            <w:pPr>
              <w:spacing w:after="20"/>
            </w:pPr>
            <w:r>
              <w:rPr>
                <w:sz w:val="18"/>
              </w:rPr>
              <w:t>XML du scénario</w:t>
            </w:r>
          </w:p>
        </w:tc>
      </w:tr>
      <w:tr>
        <w:tc>
          <w:tcPr>
            <w:tcW w:type="dxa" w:w="3360"/>
            <w:vAlign w:val="center"/>
          </w:tcPr>
          <w:p>
            <w:pPr>
              <w:spacing w:after="20"/>
            </w:pPr>
            <w:r>
              <w:rPr>
                <w:sz w:val="18"/>
              </w:rPr>
              <w:t>Scénarios automatiques</w:t>
            </w:r>
          </w:p>
        </w:tc>
        <w:tc>
          <w:tcPr>
            <w:tcW w:type="dxa" w:w="3360"/>
            <w:vAlign w:val="center"/>
          </w:tcPr>
          <w:p>
            <w:pPr>
              <w:spacing w:after="20"/>
            </w:pPr>
            <w:r>
              <w:rPr>
                <w:sz w:val="18"/>
              </w:rPr>
              <w:t>Résultats de simulation éphémères, non éditables</w:t>
            </w:r>
          </w:p>
        </w:tc>
        <w:tc>
          <w:tcPr>
            <w:tcW w:type="dxa" w:w="3360"/>
            <w:vAlign w:val="center"/>
          </w:tcPr>
          <w:p>
            <w:pPr>
              <w:spacing w:after="20"/>
            </w:pPr>
            <w:r>
              <w:rPr>
                <w:sz w:val="18"/>
              </w:rPr>
              <w:t>Mémoire ; sauvegarde explicite seulement lors de la conversion en scénario manuel</w:t>
            </w:r>
          </w:p>
        </w:tc>
      </w:tr>
      <w:tr>
        <w:tc>
          <w:tcPr>
            <w:tcW w:type="dxa" w:w="3360"/>
            <w:vAlign w:val="center"/>
          </w:tcPr>
          <w:p>
            <w:r>
              <w:t>Codes de date</w:t>
            </w:r>
          </w:p>
        </w:tc>
        <w:tc>
          <w:tcPr>
            <w:tcW w:type="dxa" w:w="3360"/>
            <w:vAlign w:val="center"/>
          </w:tcPr>
          <w:p>
            <w:r>
              <w:t>Enum contrôlé dans le code</w:t>
            </w:r>
          </w:p>
        </w:tc>
        <w:tc>
          <w:tcPr>
            <w:tcW w:type="dxa" w:w="3360"/>
            <w:vAlign w:val="center"/>
          </w:tcPr>
          <w:p>
            <w:r>
              <w:t>Code applicatif ; les valeurs autorisées sont Do, Re, Mi, Fa, Sol, La, Si et Zone</w:t>
            </w:r>
          </w:p>
        </w:tc>
      </w:tr>
    </w:tbl>
    <w:p>
      <w:pPr>
        <w:pStyle w:val="Heading2"/>
        <w:keepNext/>
        <w:keepLines/>
      </w:pPr>
      <w:r>
        <w:t>3.1 Séparation des intentions UX</w:t>
      </w:r>
    </w:p>
    <w:p>
      <w:pPr>
        <w:pStyle w:val="CodeBlock"/>
        <w:keepNext/>
        <w:keepLines/>
        <w:spacing w:after="0"/>
      </w:pPr>
      <w:r>
        <w:t>📚 Catalogue</w:t>
      </w:r>
    </w:p>
    <w:p>
      <w:pPr>
        <w:pStyle w:val="CodeBlock"/>
        <w:keepNext/>
        <w:keepLines/>
        <w:spacing w:after="0"/>
      </w:pPr>
      <w:r>
        <w:t xml:space="preserve">  ├── Villes</w:t>
      </w:r>
    </w:p>
    <w:p>
      <w:pPr>
        <w:pStyle w:val="CodeBlock"/>
        <w:keepNext/>
        <w:keepLines/>
        <w:spacing w:after="0"/>
      </w:pPr>
      <w:r>
        <w:t xml:space="preserve">  ├── Triangles</w:t>
      </w:r>
    </w:p>
    <w:p>
      <w:pPr>
        <w:pStyle w:val="CodeBlock"/>
        <w:keepNext/>
        <w:keepLines/>
        <w:spacing w:after="0"/>
      </w:pPr>
      <w:r>
        <w:t xml:space="preserve">  ├── Balises</w:t>
      </w:r>
    </w:p>
    <w:p>
      <w:pPr>
        <w:pStyle w:val="CodeBlock"/>
      </w:pPr>
      <w:r>
        <w:t xml:space="preserve">  ├── Cartes</w:t>
      </w:r>
    </w:p>
    <w:p>
      <w:pPr>
        <w:pStyle w:val="CodeBlock"/>
        <w:keepNext/>
        <w:keepLines/>
        <w:spacing w:after="0"/>
      </w:pPr>
      <w:r/>
    </w:p>
    <w:p>
      <w:pPr>
        <w:pStyle w:val="CodeBlock"/>
      </w:pPr>
      <w:r>
        <w:t xml:space="preserve">  └── Templates d’hypothèses</w:t>
      </w:r>
    </w:p>
    <w:p>
      <w:pPr>
        <w:pStyle w:val="CodeBlock"/>
        <w:keepNext/>
        <w:keepLines/>
        <w:spacing w:after="0"/>
      </w:pPr>
      <w:r>
        <w:t>🧩 Hypothèse</w:t>
      </w:r>
    </w:p>
    <w:p>
      <w:pPr>
        <w:pStyle w:val="CodeBlock"/>
        <w:keepLines/>
        <w:spacing w:after="0"/>
      </w:pPr>
      <w:r>
        <w:t xml:space="preserve">  └── Hypothèse du scénario manuel actif</w:t>
      </w:r>
    </w:p>
    <w:p>
      <w:r>
        <w:t>Les deux boutons doivent être distincts afin d’éviter toute ambiguïté entre la modification d’un référentiel partagé et la modification du document de travail courant. Le catalogue contient les objets réutilisables ; un scénario XML ne contient que son état propre et les références aux objets partagés.</w:t>
      </w:r>
    </w:p>
    <w:p>
      <w:pPr>
        <w:pStyle w:val="Heading1"/>
        <w:keepNext/>
        <w:keepLines/>
      </w:pPr>
      <w:r>
        <w:t>4. Modèle métier du catalogue</w:t>
      </w:r>
    </w:p>
    <w:p>
      <w:r>
        <w:t>Le catalogue est une unité cohérente contenant cinq collections : les villes, les triangles, les balises, les cartes et les templates d’hypothèses. Il est chargé en mémoire, validé dans son ensemble puis enregistré atomiquement.</w:t>
      </w:r>
    </w:p>
    <w:p>
      <w:pPr>
        <w:pStyle w:val="Heading2"/>
        <w:keepNext/>
        <w:keepLines/>
      </w:pPr>
      <w:r>
        <w:t>4.1 Structure logique</w:t>
      </w:r>
    </w:p>
    <w:p>
      <w:pPr>
        <w:pStyle w:val="CodeBlock"/>
        <w:keepNext/>
        <w:keepLines/>
        <w:spacing w:after="0"/>
      </w:pPr>
      <w:r>
        <w:t>Catalogue</w:t>
      </w:r>
    </w:p>
    <w:p>
      <w:pPr>
        <w:pStyle w:val="CodeBlock"/>
        <w:keepNext/>
        <w:keepLines/>
        <w:spacing w:after="0"/>
      </w:pPr>
      <w:r>
        <w:t xml:space="preserve">  ├── schemaVersion</w:t>
      </w:r>
    </w:p>
    <w:p>
      <w:pPr>
        <w:pStyle w:val="CodeBlock"/>
        <w:keepNext/>
        <w:keepLines/>
        <w:spacing w:after="0"/>
      </w:pPr>
      <w:r>
        <w:t xml:space="preserve">  ├── cities[]</w:t>
      </w:r>
    </w:p>
    <w:p>
      <w:pPr>
        <w:pStyle w:val="CodeBlock"/>
        <w:keepNext/>
        <w:keepLines/>
        <w:spacing w:after="0"/>
      </w:pPr>
      <w:r>
        <w:t xml:space="preserve">  ├── triangles[]</w:t>
      </w:r>
    </w:p>
    <w:p>
      <w:pPr>
        <w:pStyle w:val="CodeBlock"/>
        <w:keepLines/>
        <w:spacing w:after="0"/>
      </w:pPr>
      <w:r>
        <w:t xml:space="preserve">  ├── markers[]</w:t>
      </w:r>
    </w:p>
    <w:p>
      <w:pPr>
        <w:pStyle w:val="CodeBlock"/>
      </w:pPr>
      <w:r>
        <w:t xml:space="preserve">  ├── maps[]</w:t>
      </w:r>
    </w:p>
    <w:p>
      <w:pPr>
        <w:pStyle w:val="CodeBlock"/>
      </w:pPr>
      <w:r>
        <w:t xml:space="preserve">  └── hypothesisTemplates[]</w:t>
      </w:r>
    </w:p>
    <w:p>
      <w:pPr>
        <w:pStyle w:val="Heading2"/>
        <w:keepNext/>
        <w:keepLines/>
      </w:pPr>
      <w:r>
        <w:t>4.2 Identifiants</w:t>
      </w:r>
    </w:p>
    <w:p>
      <w:pPr>
        <w:pStyle w:val="ListBullet"/>
      </w:pPr>
      <w:r>
        <w:t>Chaque ville possède un identifiant stable et unique.</w:t>
      </w:r>
    </w:p>
    <w:p>
      <w:pPr>
        <w:pStyle w:val="ListBullet"/>
      </w:pPr>
      <w:r>
        <w:t>Chaque triangle possède un identifiant stable et unique.</w:t>
      </w:r>
    </w:p>
    <w:p>
      <w:pPr>
        <w:pStyle w:val="ListBullet"/>
      </w:pPr>
      <w:r>
        <w:t>Chaque template possède un identifiant stable et unique.</w:t>
      </w:r>
    </w:p>
    <w:p>
      <w:pPr>
        <w:pStyle w:val="ListBullet"/>
      </w:pPr>
      <w:r>
        <w:t>Chaque balise possède un identifiant stable et unique.</w:t>
      </w:r>
    </w:p>
    <w:p>
      <w:pPr>
        <w:pStyle w:val="ListBullet"/>
      </w:pPr>
      <w:r>
        <w:t>Chaque carte possède un identifiant stable et unique.</w:t>
      </w:r>
    </w:p>
    <w:p>
      <w:pPr>
        <w:pStyle w:val="ListBullet"/>
      </w:pPr>
      <w:r>
        <w:t>Les relations utilisent les identifiants, jamais les libellés humains.</w:t>
      </w:r>
    </w:p>
    <w:p>
      <w:pPr>
        <w:pStyle w:val="ListBullet"/>
      </w:pPr>
      <w:r>
        <w:t>Une modification de nom ne doit pas casser une référence.</w:t>
      </w:r>
    </w:p>
    <w:p>
      <w:pPr>
        <w:pStyle w:val="Heading1"/>
        <w:keepNext/>
        <w:keepLines/>
      </w:pPr>
      <w:r>
        <w:t>5. Gestion des villes</w:t>
      </w:r>
    </w:p>
    <w:p>
      <w:pPr>
        <w:pStyle w:val="Heading2"/>
        <w:keepNext/>
        <w:keepLines/>
      </w:pPr>
      <w:r>
        <w:t>5.1 Attributs minimaux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pPr>
              <w:spacing w:after="20"/>
            </w:pPr>
            <w:r>
              <w:rPr>
                <w:sz w:val="18"/>
              </w:rPr>
              <w:t>Champ</w:t>
            </w:r>
          </w:p>
        </w:tc>
        <w:tc>
          <w:tcPr>
            <w:tcW w:type="dxa" w:w="3360"/>
            <w:shd w:fill="D9EAF7"/>
            <w:vAlign w:val="center"/>
          </w:tcPr>
          <w:p>
            <w:pPr>
              <w:spacing w:after="20"/>
            </w:pPr>
            <w:r>
              <w:rPr>
                <w:sz w:val="18"/>
              </w:rPr>
              <w:t>Obligatoire</w:t>
            </w:r>
          </w:p>
        </w:tc>
        <w:tc>
          <w:tcPr>
            <w:tcW w:type="dxa" w:w="3360"/>
            <w:shd w:fill="D9EAF7"/>
            <w:vAlign w:val="center"/>
          </w:tcPr>
          <w:p>
            <w:pPr>
              <w:spacing w:after="20"/>
            </w:pPr>
            <w:r>
              <w:rPr>
                <w:sz w:val="18"/>
              </w:rPr>
              <w:t>Description</w:t>
            </w:r>
          </w:p>
        </w:tc>
      </w:tr>
      <w:tr>
        <w:tc>
          <w:tcPr>
            <w:tcW w:type="dxa" w:w="3360"/>
            <w:vAlign w:val="center"/>
          </w:tcPr>
          <w:p>
            <w:pPr>
              <w:spacing w:after="20"/>
            </w:pPr>
            <w:r>
              <w:rPr>
                <w:sz w:val="18"/>
              </w:rPr>
              <w:t>id</w:t>
            </w:r>
          </w:p>
        </w:tc>
        <w:tc>
          <w:tcPr>
            <w:tcW w:type="dxa" w:w="3360"/>
            <w:vAlign w:val="center"/>
          </w:tcPr>
          <w:p>
            <w:pPr>
              <w:spacing w:after="20"/>
            </w:pPr>
            <w:r>
              <w:rPr>
                <w:sz w:val="18"/>
              </w:rPr>
              <w:t>Oui</w:t>
            </w:r>
          </w:p>
        </w:tc>
        <w:tc>
          <w:tcPr>
            <w:tcW w:type="dxa" w:w="3360"/>
            <w:vAlign w:val="center"/>
          </w:tcPr>
          <w:p>
            <w:pPr>
              <w:spacing w:after="20"/>
            </w:pPr>
            <w:r>
              <w:rPr>
                <w:sz w:val="18"/>
              </w:rPr>
              <w:t>Identifiant stable</w:t>
            </w:r>
          </w:p>
        </w:tc>
      </w:tr>
      <w:tr>
        <w:tc>
          <w:tcPr>
            <w:tcW w:type="dxa" w:w="3360"/>
            <w:vAlign w:val="center"/>
          </w:tcPr>
          <w:p>
            <w:pPr>
              <w:spacing w:after="20"/>
            </w:pPr>
            <w:r>
              <w:rPr>
                <w:sz w:val="18"/>
              </w:rPr>
              <w:t>name</w:t>
            </w:r>
          </w:p>
        </w:tc>
        <w:tc>
          <w:tcPr>
            <w:tcW w:type="dxa" w:w="3360"/>
            <w:vAlign w:val="center"/>
          </w:tcPr>
          <w:p>
            <w:pPr>
              <w:spacing w:after="20"/>
            </w:pPr>
            <w:r>
              <w:rPr>
                <w:sz w:val="18"/>
              </w:rPr>
              <w:t>Oui</w:t>
            </w:r>
          </w:p>
        </w:tc>
        <w:tc>
          <w:tcPr>
            <w:tcW w:type="dxa" w:w="3360"/>
            <w:vAlign w:val="center"/>
          </w:tcPr>
          <w:p>
            <w:pPr>
              <w:spacing w:after="20"/>
            </w:pPr>
            <w:r>
              <w:rPr>
                <w:sz w:val="18"/>
              </w:rPr>
              <w:t>Nom canonique de la ville</w:t>
            </w:r>
          </w:p>
        </w:tc>
      </w:tr>
      <w:tr>
        <w:tc>
          <w:tcPr>
            <w:tcW w:type="dxa" w:w="3360"/>
            <w:vAlign w:val="center"/>
          </w:tcPr>
          <w:p>
            <w:pPr>
              <w:spacing w:after="20"/>
            </w:pPr>
            <w:r>
              <w:rPr>
                <w:sz w:val="18"/>
              </w:rPr>
              <w:t>latitude</w:t>
            </w:r>
          </w:p>
        </w:tc>
        <w:tc>
          <w:tcPr>
            <w:tcW w:type="dxa" w:w="3360"/>
            <w:vAlign w:val="center"/>
          </w:tcPr>
          <w:p>
            <w:pPr>
              <w:spacing w:after="20"/>
            </w:pPr>
            <w:r>
              <w:rPr>
                <w:sz w:val="18"/>
              </w:rPr>
              <w:t>Oui</w:t>
            </w:r>
          </w:p>
        </w:tc>
        <w:tc>
          <w:tcPr>
            <w:tcW w:type="dxa" w:w="3360"/>
            <w:vAlign w:val="center"/>
          </w:tcPr>
          <w:p>
            <w:pPr>
              <w:spacing w:after="20"/>
            </w:pPr>
            <w:r>
              <w:rPr>
                <w:sz w:val="18"/>
              </w:rPr>
              <w:t>Coordonnée géographique</w:t>
            </w:r>
          </w:p>
        </w:tc>
      </w:tr>
      <w:tr>
        <w:tc>
          <w:tcPr>
            <w:tcW w:type="dxa" w:w="3360"/>
            <w:vAlign w:val="center"/>
          </w:tcPr>
          <w:p>
            <w:pPr>
              <w:spacing w:after="20"/>
            </w:pPr>
            <w:r>
              <w:rPr>
                <w:sz w:val="18"/>
              </w:rPr>
              <w:t>longitude</w:t>
            </w:r>
          </w:p>
        </w:tc>
        <w:tc>
          <w:tcPr>
            <w:tcW w:type="dxa" w:w="3360"/>
            <w:vAlign w:val="center"/>
          </w:tcPr>
          <w:p>
            <w:pPr>
              <w:spacing w:after="20"/>
            </w:pPr>
            <w:r>
              <w:rPr>
                <w:sz w:val="18"/>
              </w:rPr>
              <w:t>Oui</w:t>
            </w:r>
          </w:p>
        </w:tc>
        <w:tc>
          <w:tcPr>
            <w:tcW w:type="dxa" w:w="3360"/>
            <w:vAlign w:val="center"/>
          </w:tcPr>
          <w:p>
            <w:pPr>
              <w:spacing w:after="20"/>
            </w:pPr>
            <w:r>
              <w:rPr>
                <w:sz w:val="18"/>
              </w:rPr>
              <w:t>Coordonnée géographique</w:t>
            </w:r>
          </w:p>
        </w:tc>
      </w:tr>
      <w:tr>
        <w:tc>
          <w:tcPr>
            <w:tcW w:type="dxa" w:w="3360"/>
            <w:vAlign w:val="center"/>
          </w:tcPr>
          <w:p>
            <w:r>
              <w:t>archived</w:t>
            </w:r>
          </w:p>
        </w:tc>
        <w:tc>
          <w:tcPr>
            <w:tcW w:type="dxa" w:w="3360"/>
            <w:vAlign w:val="center"/>
          </w:tcPr>
          <w:p>
            <w:r>
              <w:t>Oui</w:t>
            </w:r>
          </w:p>
        </w:tc>
        <w:tc>
          <w:tcPr>
            <w:tcW w:type="dxa" w:w="3360"/>
            <w:vAlign w:val="center"/>
          </w:tcPr>
          <w:p>
            <w:r>
              <w:t>Indique qu’une ville n’est plus proposée pour de nouvelles affectations tout en restant référencable par les données existantes</w:t>
            </w:r>
          </w:p>
        </w:tc>
      </w:tr>
    </w:tbl>
    <w:p>
      <w:pPr>
        <w:pStyle w:val="Heading2"/>
        <w:keepNext/>
        <w:keepLines/>
      </w:pPr>
      <w:r>
        <w:t>5.2 Règles métier</w:t>
      </w:r>
    </w:p>
    <w:p>
      <w:pPr>
        <w:pStyle w:val="ListBullet"/>
      </w:pPr>
      <w:r>
        <w:t>Le nom d’une ville est modifiable.</w:t>
      </w:r>
    </w:p>
    <w:p>
      <w:pPr>
        <w:pStyle w:val="ListBullet"/>
      </w:pPr>
      <w:r>
        <w:t>Les coordonnées sont modifiables.</w:t>
      </w:r>
    </w:p>
    <w:p>
      <w:pPr>
        <w:pStyle w:val="ListBullet"/>
      </w:pPr>
      <w:r>
        <w:t>Les coordonnées géographiques sont la source de vérité. Les coordonnées écran sont dérivées de la projection de la carte associée au scénario.</w:t>
      </w:r>
    </w:p>
    <w:p>
      <w:pPr>
        <w:pStyle w:val="ListBullet"/>
      </w:pPr>
      <w:r>
        <w:t>Une ville référencée par un scénario, un triangle ou une balise ne peut pas être supprimée.</w:t>
      </w:r>
    </w:p>
    <w:p>
      <w:pPr>
        <w:pStyle w:val="ListBullet"/>
      </w:pPr>
      <w:r>
        <w:t>Aucune suppression en cascade n’est autorisée ; l’archivage est privilégié pour retirer une ville des choix de création.</w:t>
      </w:r>
    </w:p>
    <w:p>
      <w:pPr>
        <w:pStyle w:val="ListBullet"/>
      </w:pPr>
      <w:r>
        <w:t>La version courante ne conserve pas d’historique de coordonnées.</w:t>
      </w:r>
    </w:p>
    <w:p>
      <w:pPr>
        <w:pStyle w:val="Heading2"/>
        <w:keepNext/>
        <w:keepLines/>
      </w:pPr>
      <w:r>
        <w:t>5.3 Conséquences d’un changement de coordonnées</w:t>
      </w:r>
    </w:p>
    <w:p>
      <w:r>
        <w:t>Lorsqu’une coordonnée est modifiée, les propriétés géométriques des triangles concernés sont recalculées. Toute balise définie par cette ville est déplacée automatiquement ; les groupes de scénario accrochés à cette balise suivent ce déplacement. Les scénarios chargés ou ouverts doivent être rechargés ou recalculés selon le cycle retenu lors de la conception technique.</w:t>
      </w:r>
    </w:p>
    <w:p>
      <w:pPr>
        <w:pStyle w:val="Heading2"/>
      </w:pPr>
      <w:r>
        <w:t>5.4 Balises</w:t>
      </w:r>
    </w:p>
    <w:p>
      <w:pPr/>
      <w:r>
        <w:t>Une balise est un objet du catalogue défini par une ville existante. Elle possède un identifiant stable, référence une CityId et peut être utilisée comme point d’accrochage d’un groupe dans un scénario.</w:t>
      </w:r>
    </w:p>
    <w:p>
      <w:pPr>
        <w:pStyle w:val="ListBullet"/>
      </w:pPr>
      <w:r>
        <w:t>Une balise référencée par un scénario ne peut pas être supprimée ; elle peut être archivée. Le déplacement de sa ville déplace la balise et les groupes de scénario qui y sont accrochés.</w:t>
      </w:r>
    </w:p>
    <w:p>
      <w:pPr>
        <w:pStyle w:val="Heading2"/>
      </w:pPr>
      <w:r>
        <w:t>5.5 Cartes</w:t>
      </w:r>
    </w:p>
    <w:p>
      <w:pPr/>
      <w:r>
        <w:t>Une carte est un objet du catalogue qui regroupe le fond cartographique, la projection et les paramètres de calibration. Elle possède un identifiant stable et peut être archivée lorsqu’elle ne doit plus être proposée pour de nouveaux scénarios.</w:t>
      </w:r>
    </w:p>
    <w:p>
      <w:pPr>
        <w:pStyle w:val="ListBullet"/>
      </w:pPr>
      <w:r>
        <w:t>Un scénario référence une MapId. Ses propriétés d’affichage, notamment le zoom et le viewport, restent propres au scénario. Une carte référencée par un scénario ne peut pas être supprimée.</w:t>
      </w:r>
    </w:p>
    <w:p>
      <w:pPr>
        <w:pStyle w:val="Heading1"/>
        <w:keepNext/>
        <w:keepLines/>
      </w:pPr>
      <w:r>
        <w:t>6. Gestion des triangles</w:t>
      </w:r>
    </w:p>
    <w:p>
      <w:pPr>
        <w:pStyle w:val="Heading2"/>
        <w:keepNext/>
        <w:keepLines/>
      </w:pPr>
      <w:r>
        <w:t>6.1 Définition métier</w:t>
      </w:r>
    </w:p>
    <w:p>
      <w:r>
        <w:t>L’ouverture correspond aujourd’hui à Bourges. OpeningCityId reste toutefois stocké dans chaque triangle afin de préserver la cohérence et l’évolutivité du modèle métier.</w:t>
      </w:r>
    </w:p>
    <w:p>
      <w:pPr>
        <w:pStyle w:val="CodeBlock"/>
        <w:keepLines/>
        <w:spacing w:after="0"/>
      </w:pPr>
      <w:r>
        <w:t>Triangle = Ouverture + Base + Lumière</w:t>
      </w:r>
    </w:p>
    <w:p>
      <w:pPr>
        <w:pStyle w:val="Heading2"/>
        <w:keepNext/>
        <w:keepLines/>
      </w:pPr>
      <w:r>
        <w:t>6.2 Attributs minimaux</w:t>
      </w:r>
    </w:p>
    <w:tbl>
      <w:tblPr>
        <w:tblStyle w:val="TableGrid"/>
        <w:tblW w:type="auto" w:w="0"/>
        <w:tblLook w:firstColumn="1" w:firstRow="1" w:lastColumn="0" w:lastRow="0" w:noHBand="0" w:noVBand="1" w:val="04A0"/>
      </w:tblPr>
      <w:tblGrid>
        <w:gridCol w:w="3360"/>
        <w:gridCol w:w="3360"/>
        <w:gridCol w:w="3360"/>
      </w:tblGrid>
      <w:tr>
        <w:tc>
          <w:tcPr>
            <w:tcW w:type="dxa" w:w="3360"/>
            <w:shd w:fill="D9EAF7"/>
            <w:vAlign w:val="center"/>
          </w:tcPr>
          <w:p>
            <w:pPr>
              <w:spacing w:after="20"/>
            </w:pPr>
            <w:r>
              <w:rPr>
                <w:sz w:val="18"/>
              </w:rPr>
              <w:t>Champ</w:t>
            </w:r>
          </w:p>
        </w:tc>
        <w:tc>
          <w:tcPr>
            <w:tcW w:type="dxa" w:w="3360"/>
            <w:shd w:fill="D9EAF7"/>
            <w:vAlign w:val="center"/>
          </w:tcPr>
          <w:p>
            <w:pPr>
              <w:spacing w:after="20"/>
            </w:pPr>
            <w:r>
              <w:rPr>
                <w:sz w:val="18"/>
              </w:rPr>
              <w:t>Obligatoire</w:t>
            </w:r>
          </w:p>
        </w:tc>
        <w:tc>
          <w:tcPr>
            <w:tcW w:type="dxa" w:w="3360"/>
            <w:shd w:fill="D9EAF7"/>
            <w:vAlign w:val="center"/>
          </w:tcPr>
          <w:p>
            <w:pPr>
              <w:spacing w:after="20"/>
            </w:pPr>
            <w:r>
              <w:rPr>
                <w:sz w:val="18"/>
              </w:rPr>
              <w:t>Rôle</w:t>
            </w:r>
          </w:p>
        </w:tc>
      </w:tr>
      <w:tr>
        <w:tc>
          <w:tcPr>
            <w:tcW w:type="dxa" w:w="3360"/>
            <w:vAlign w:val="center"/>
          </w:tcPr>
          <w:p>
            <w:pPr>
              <w:spacing w:after="20"/>
            </w:pPr>
            <w:r>
              <w:rPr>
                <w:sz w:val="18"/>
              </w:rPr>
              <w:t>id</w:t>
            </w:r>
          </w:p>
        </w:tc>
        <w:tc>
          <w:tcPr>
            <w:tcW w:type="dxa" w:w="3360"/>
            <w:vAlign w:val="center"/>
          </w:tcPr>
          <w:p>
            <w:pPr>
              <w:spacing w:after="20"/>
            </w:pPr>
            <w:r>
              <w:rPr>
                <w:sz w:val="18"/>
              </w:rPr>
              <w:t>Oui</w:t>
            </w:r>
          </w:p>
        </w:tc>
        <w:tc>
          <w:tcPr>
            <w:tcW w:type="dxa" w:w="3360"/>
            <w:vAlign w:val="center"/>
          </w:tcPr>
          <w:p>
            <w:pPr>
              <w:spacing w:after="20"/>
            </w:pPr>
            <w:r>
              <w:rPr>
                <w:sz w:val="18"/>
              </w:rPr>
              <w:t>Identifiant stable</w:t>
            </w:r>
          </w:p>
        </w:tc>
      </w:tr>
      <w:tr>
        <w:tc>
          <w:tcPr>
            <w:tcW w:type="dxa" w:w="3360"/>
            <w:vAlign w:val="center"/>
          </w:tcPr>
          <w:p>
            <w:pPr>
              <w:spacing w:after="20"/>
            </w:pPr>
            <w:r>
              <w:rPr>
                <w:sz w:val="18"/>
              </w:rPr>
              <w:t>baseCityId</w:t>
            </w:r>
          </w:p>
        </w:tc>
        <w:tc>
          <w:tcPr>
            <w:tcW w:type="dxa" w:w="3360"/>
            <w:vAlign w:val="center"/>
          </w:tcPr>
          <w:p>
            <w:pPr>
              <w:spacing w:after="20"/>
            </w:pPr>
            <w:r>
              <w:rPr>
                <w:sz w:val="18"/>
              </w:rPr>
              <w:t>Oui</w:t>
            </w:r>
          </w:p>
        </w:tc>
        <w:tc>
          <w:tcPr>
            <w:tcW w:type="dxa" w:w="3360"/>
            <w:vAlign w:val="center"/>
          </w:tcPr>
          <w:p>
            <w:pPr>
              <w:spacing w:after="20"/>
            </w:pPr>
            <w:r>
              <w:rPr>
                <w:sz w:val="18"/>
              </w:rPr>
              <w:t>Ville de base</w:t>
            </w:r>
          </w:p>
        </w:tc>
      </w:tr>
      <w:tr>
        <w:tc>
          <w:tcPr>
            <w:tcW w:type="dxa" w:w="3360"/>
            <w:vAlign w:val="center"/>
          </w:tcPr>
          <w:p>
            <w:pPr>
              <w:spacing w:after="20"/>
            </w:pPr>
            <w:r>
              <w:rPr>
                <w:sz w:val="18"/>
              </w:rPr>
              <w:t>lightCityId</w:t>
            </w:r>
          </w:p>
        </w:tc>
        <w:tc>
          <w:tcPr>
            <w:tcW w:type="dxa" w:w="3360"/>
            <w:vAlign w:val="center"/>
          </w:tcPr>
          <w:p>
            <w:pPr>
              <w:spacing w:after="20"/>
            </w:pPr>
            <w:r>
              <w:rPr>
                <w:sz w:val="18"/>
              </w:rPr>
              <w:t>Oui</w:t>
            </w:r>
          </w:p>
        </w:tc>
        <w:tc>
          <w:tcPr>
            <w:tcW w:type="dxa" w:w="3360"/>
            <w:vAlign w:val="center"/>
          </w:tcPr>
          <w:p>
            <w:pPr>
              <w:spacing w:after="20"/>
            </w:pPr>
            <w:r>
              <w:rPr>
                <w:sz w:val="18"/>
              </w:rPr>
              <w:t>Ville lumière</w:t>
            </w:r>
          </w:p>
        </w:tc>
      </w:tr>
      <w:tr>
        <w:tc>
          <w:tcPr>
            <w:tcW w:type="dxa" w:w="3360"/>
            <w:vAlign w:val="center"/>
          </w:tcPr>
          <w:p>
            <w:pPr>
              <w:spacing w:after="20"/>
            </w:pPr>
            <w:r>
              <w:rPr>
                <w:sz w:val="18"/>
              </w:rPr>
              <w:t>dateCode</w:t>
            </w:r>
          </w:p>
        </w:tc>
        <w:tc>
          <w:tcPr>
            <w:tcW w:type="dxa" w:w="3360"/>
            <w:vAlign w:val="center"/>
          </w:tcPr>
          <w:p>
            <w:pPr>
              <w:spacing w:after="20"/>
            </w:pPr>
            <w:r>
              <w:rPr>
                <w:sz w:val="18"/>
              </w:rPr>
              <w:t>Oui</w:t>
            </w:r>
          </w:p>
        </w:tc>
        <w:tc>
          <w:tcPr>
            <w:tcW w:type="dxa" w:w="3360"/>
            <w:vAlign w:val="center"/>
          </w:tcPr>
          <w:p>
            <w:pPr>
              <w:spacing w:after="20"/>
            </w:pPr>
            <w:r>
              <w:rPr>
                <w:sz w:val="18"/>
              </w:rPr>
              <w:t>Attribut de classement et de lisibilité</w:t>
            </w:r>
          </w:p>
        </w:tc>
      </w:tr>
      <w:tr>
        <w:tc>
          <w:tcPr>
            <w:tcW w:type="dxa" w:w="3360"/>
            <w:vAlign w:val="center"/>
          </w:tcPr>
          <w:p>
            <w:pPr>
              <w:spacing w:after="20"/>
            </w:pPr>
            <w:r>
              <w:rPr>
                <w:sz w:val="18"/>
              </w:rPr>
              <w:t>openingCityId</w:t>
            </w:r>
          </w:p>
        </w:tc>
        <w:tc>
          <w:tcPr>
            <w:tcW w:type="dxa" w:w="3360"/>
            <w:vAlign w:val="center"/>
          </w:tcPr>
          <w:p>
            <w:r>
              <w:t>Oui</w:t>
            </w:r>
          </w:p>
        </w:tc>
        <w:tc>
          <w:tcPr>
            <w:tcW w:type="dxa" w:w="3360"/>
            <w:vAlign w:val="center"/>
          </w:tcPr>
          <w:p>
            <w:r>
              <w:t>Ville d’ouverture ; actuellement Bourges, conservée explicitement dans le modèle</w:t>
            </w:r>
          </w:p>
        </w:tc>
      </w:tr>
    </w:tbl>
    <w:p>
      <w:pPr>
        <w:pStyle w:val="Heading2"/>
        <w:keepNext/>
        <w:keepLines/>
      </w:pPr>
      <w:r>
        <w:t>6.3 Clé d’unicité</w:t>
      </w:r>
    </w:p>
    <w:p>
      <w:r>
        <w:t>La date ne participe pas à l’unicité. La clé métier d’un triangle est le triplet (openingCityId, baseCityId, lightCityId). Un même triplet ne peut donc pas être associé plusieurs fois au catalogue.</w:t>
      </w:r>
    </w:p>
    <w:tbl>
      <w:tblPr>
        <w:tblW w:type="auto" w:w="0"/>
        <w:jc w:val="center"/>
        <w:tblLayout w:type="autofit"/>
        <w:tblLook w:firstColumn="1" w:firstRow="1" w:lastColumn="0" w:lastRow="0" w:noHBand="0" w:noVBand="1" w:val="04A0"/>
      </w:tblPr>
      <w:tblGrid>
        <w:gridCol w:w="10080"/>
      </w:tblGrid>
      <w:tr>
        <w:tc>
          <w:tcPr>
            <w:tcW w:type="dxa" w:w="10080"/>
            <w:shd w:fill="EAF2F8"/>
            <w:vAlign w:val="center"/>
          </w:tcPr>
          <w:p>
            <w:r>
              <w:t>Règle d’unicité — Deux triangles ne peuvent pas partager le même triplet (openingCityId, baseCityId, lightCityId). L’ouverture correspondant actuellement à Bourges, ce triplet se réduit aujourd’hui en pratique à la paire (baseCityId, lightCityId).</w:t>
            </w:r>
          </w:p>
        </w:tc>
      </w:tr>
    </w:tbl>
    <w:p/>
    <w:p>
      <w:pPr>
        <w:pStyle w:val="Heading2"/>
        <w:keepNext/>
        <w:keepLines/>
      </w:pPr>
      <w:r>
        <w:t>6.4 Codes de date</w:t>
      </w:r>
    </w:p>
    <w:p>
      <w:r>
        <w:t>Les valeurs autorisées sont contrôlées par l’Enum DateCode du code applicatif. La liste initiale est :</w:t>
      </w:r>
    </w:p>
    <w:p>
      <w:pPr>
        <w:pStyle w:val="CodeBlock"/>
        <w:keepNext/>
        <w:keepLines/>
        <w:spacing w:after="0"/>
      </w:pPr>
      <w:r>
        <w:t>Do</w:t>
      </w:r>
    </w:p>
    <w:p>
      <w:pPr>
        <w:pStyle w:val="CodeBlock"/>
        <w:keepNext/>
        <w:keepLines/>
        <w:spacing w:after="0"/>
      </w:pPr>
      <w:r>
        <w:t>Re</w:t>
      </w:r>
    </w:p>
    <w:p>
      <w:pPr>
        <w:pStyle w:val="CodeBlock"/>
        <w:keepNext/>
        <w:keepLines/>
        <w:spacing w:after="0"/>
      </w:pPr>
      <w:r>
        <w:t>Mi</w:t>
      </w:r>
    </w:p>
    <w:p>
      <w:pPr>
        <w:pStyle w:val="CodeBlock"/>
        <w:keepNext/>
        <w:keepLines/>
        <w:spacing w:after="0"/>
      </w:pPr>
      <w:r>
        <w:t>Fa</w:t>
      </w:r>
    </w:p>
    <w:p>
      <w:pPr>
        <w:pStyle w:val="CodeBlock"/>
        <w:keepNext/>
        <w:keepLines/>
        <w:spacing w:after="0"/>
      </w:pPr>
      <w:r>
        <w:t>Sol</w:t>
      </w:r>
    </w:p>
    <w:p>
      <w:pPr>
        <w:pStyle w:val="CodeBlock"/>
        <w:keepNext/>
        <w:keepLines/>
        <w:spacing w:after="0"/>
      </w:pPr>
      <w:r>
        <w:t>La</w:t>
      </w:r>
    </w:p>
    <w:p>
      <w:pPr>
        <w:pStyle w:val="CodeBlock"/>
        <w:keepNext/>
        <w:keepLines/>
        <w:spacing w:after="0"/>
      </w:pPr>
      <w:r>
        <w:t>Si</w:t>
      </w:r>
    </w:p>
    <w:p>
      <w:pPr>
        <w:pStyle w:val="CodeBlock"/>
        <w:keepLines/>
        <w:spacing w:after="0"/>
      </w:pPr>
      <w:r>
        <w:t>Zone</w:t>
      </w:r>
    </w:p>
    <w:p>
      <w:pPr>
        <w:pStyle w:val="ListBullet"/>
      </w:pPr>
      <w:r>
        <w:t>La saisie et l’import doivent être normalisés vers une valeur de l’Enum DateCode.</w:t>
      </w:r>
    </w:p>
    <w:p>
      <w:pPr>
        <w:pStyle w:val="ListBullet"/>
      </w:pPr>
      <w:r>
        <w:t>Chaque valeur est normalisée vers la graphie canonique définie par l’Enum.</w:t>
      </w:r>
    </w:p>
    <w:p>
      <w:pPr>
        <w:pStyle w:val="ListBullet"/>
      </w:pPr>
      <w:r>
        <w:t>Une valeur inconnue est rejetée avec un message explicite.</w:t>
      </w:r>
    </w:p>
    <w:p>
      <w:pPr>
        <w:pStyle w:val="ListBullet"/>
      </w:pPr>
      <w:r>
        <w:t>Le code de date est un attribut de classement et ne constitue pas une relation structurante.</w:t>
      </w:r>
    </w:p>
    <w:p>
      <w:pPr>
        <w:pStyle w:val="Heading2"/>
        <w:keepNext/>
        <w:keepLines/>
      </w:pPr>
      <w:r>
        <w:t>6.5 Suppression</w:t>
      </w:r>
    </w:p>
    <w:p>
      <w:r>
        <w:t>Un triangle utilisé par un template, par l’hypothèse d’un scénario manuel enregistré ou par la topologie active ne peut pas être supprimé. Il peut être archivé ; aucune suppression en cascade n’est autorisée.</w:t>
      </w:r>
    </w:p>
    <w:p>
      <w:pPr>
        <w:pStyle w:val="Heading1"/>
        <w:keepNext/>
        <w:keepLines/>
      </w:pPr>
      <w:r>
        <w:t>7. Templates d’hypothèses</w:t>
      </w:r>
    </w:p>
    <w:p>
      <w:r>
        <w:t>Un template est un modèle réutilisable permettant d’initialiser ou de remplacer l’hypothèse d’un scénario manuel. Il appartient au catalogue et n’est pas lié dynamiquement aux scénarios créés à partir de lui. Sa description explicite son usage ; il constitue principalement un point de départ pour la sélection ordonnée des bases, et non un simple conteneur de 32 triangles.</w:t>
      </w:r>
    </w:p>
    <w:p>
      <w:pPr>
        <w:pStyle w:val="Heading2"/>
        <w:keepNext/>
        <w:keepLines/>
      </w:pPr>
      <w:r>
        <w:t>7.1 Complétude obligatoire</w:t>
      </w:r>
    </w:p>
    <w:tbl>
      <w:tblPr>
        <w:tblW w:type="auto" w:w="0"/>
        <w:jc w:val="center"/>
        <w:tblLayout w:type="autofit"/>
        <w:tblLook w:firstColumn="1" w:firstRow="1" w:lastColumn="0" w:lastRow="0" w:noHBand="0" w:noVBand="1" w:val="04A0"/>
      </w:tblPr>
      <w:tblGrid>
        <w:gridCol w:w="10080"/>
      </w:tblGrid>
      <w:tr>
        <w:tc>
          <w:tcPr>
            <w:tcW w:type="dxa" w:w="10080"/>
            <w:shd w:fill="EAF2F8"/>
            <w:vAlign w:val="center"/>
          </w:tcPr>
          <w:p>
            <w:pPr>
              <w:spacing w:after="20"/>
            </w:pPr>
            <w:r>
              <w:rPr>
                <w:b/>
                <w:color w:val="1F4E79"/>
                <w:sz w:val="18"/>
              </w:rPr>
              <w:t xml:space="preserve">Règle — </w:t>
            </w:r>
            <w:r>
              <w:rPr>
                <w:sz w:val="18"/>
              </w:rPr>
              <w:t>Un template contient obligatoirement 32 rangs renseignés. Les brouillons incomplets ne sont pas enregistrables.</w:t>
            </w:r>
          </w:p>
        </w:tc>
      </w:tr>
    </w:tbl>
    <w:p/>
    <w:p>
      <w:pPr>
        <w:pStyle w:val="Heading2"/>
        <w:keepNext/>
        <w:keepLines/>
      </w:pPr>
      <w:r>
        <w:t>7.2 Structure</w:t>
      </w:r>
    </w:p>
    <w:p>
      <w:pPr>
        <w:pStyle w:val="CodeBlock"/>
        <w:keepNext/>
        <w:keepLines/>
        <w:spacing w:after="0"/>
      </w:pPr>
      <w:r>
        <w:t>TemplateHypothesis</w:t>
      </w:r>
    </w:p>
    <w:p>
      <w:pPr>
        <w:pStyle w:val="CodeBlock"/>
        <w:keepNext/>
        <w:keepLines/>
        <w:spacing w:after="0"/>
      </w:pPr>
      <w:r>
        <w:t xml:space="preserve">  ├── id</w:t>
      </w:r>
    </w:p>
    <w:p>
      <w:pPr>
        <w:pStyle w:val="CodeBlock"/>
        <w:keepNext/>
        <w:keepLines/>
        <w:spacing w:after="0"/>
      </w:pPr>
      <w:r>
        <w:t xml:space="preserve">  ├── name</w:t>
      </w:r>
    </w:p>
    <w:p>
      <w:pPr>
        <w:pStyle w:val="CodeBlock"/>
        <w:keepNext/>
        <w:keepLines/>
        <w:spacing w:after="0"/>
      </w:pPr>
      <w:r>
        <w:t xml:space="preserve">  ├── description?</w:t>
      </w:r>
    </w:p>
    <w:p>
      <w:pPr>
        <w:pStyle w:val="CodeBlock"/>
        <w:keepLines/>
        <w:spacing w:after="0"/>
      </w:pPr>
      <w:r>
        <w:t xml:space="preserve">  └── ranks[1..32] -&gt; triangleId</w:t>
      </w:r>
    </w:p>
    <w:p>
      <w:pPr>
        <w:pStyle w:val="Heading2"/>
        <w:keepNext/>
        <w:keepLines/>
      </w:pPr>
      <w:r>
        <w:t>7.3 Contraintes métier</w:t>
      </w:r>
    </w:p>
    <w:p>
      <w:pPr>
        <w:pStyle w:val="ListBullet"/>
      </w:pPr>
      <w:r>
        <w:t>Les 32 rangs sont renseignés.</w:t>
      </w:r>
    </w:p>
    <w:p>
      <w:pPr>
        <w:pStyle w:val="ListBullet"/>
      </w:pPr>
      <w:r>
        <w:t>Chaque rang référence un triangle existant.</w:t>
      </w:r>
    </w:p>
    <w:p>
      <w:pPr>
        <w:pStyle w:val="ListBullet"/>
      </w:pPr>
      <w:r>
        <w:t>Chaque couple de rangs (1-2, 3-4, …, 31-32) contient deux triangles de même base.</w:t>
      </w:r>
    </w:p>
    <w:p>
      <w:pPr>
        <w:pStyle w:val="ListBullet"/>
      </w:pPr>
      <w:r>
        <w:t>Les deux triangles d’un couple sont distincts.</w:t>
      </w:r>
    </w:p>
    <w:p>
      <w:pPr>
        <w:pStyle w:val="ListBullet"/>
      </w:pPr>
      <w:r>
        <w:t>Un même triangle ne peut pas être utilisé deux fois dans la même hypothèse.</w:t>
      </w:r>
    </w:p>
    <w:p>
      <w:pPr>
        <w:pStyle w:val="ListBullet"/>
      </w:pPr>
      <w:r>
        <w:t>Une base peut être absente.</w:t>
      </w:r>
    </w:p>
    <w:p>
      <w:pPr>
        <w:pStyle w:val="ListBullet"/>
      </w:pPr>
      <w:r>
        <w:t>Une base peut être utilisée dans un nombre quelconque de couples.</w:t>
      </w:r>
    </w:p>
    <w:p>
      <w:pPr>
        <w:pStyle w:val="ListBullet"/>
      </w:pPr>
      <w:r>
        <w:t>En pratique, le corpus actuel peut utiliser jusqu’à deux couples pour une même base, mais cette limite ne doit pas être codée comme règle.</w:t>
      </w:r>
    </w:p>
    <w:p>
      <w:pPr>
        <w:pStyle w:val="Heading2"/>
        <w:keepNext/>
        <w:keepLines/>
      </w:pPr>
      <w:r>
        <w:t>7.4 Instanciation</w:t>
      </w:r>
      <w:r/>
    </w:p>
    <w:p>
      <w:pPr>
        <w:pStyle w:val="CodeBlock"/>
        <w:keepNext/>
        <w:keepLines/>
        <w:spacing w:after="0"/>
      </w:pPr>
      <w:r>
        <w:t>Template (catalogue)</w:t>
      </w:r>
    </w:p>
    <w:p>
      <w:pPr>
        <w:pStyle w:val="CodeBlock"/>
        <w:keepNext/>
        <w:keepLines/>
        <w:spacing w:after="0"/>
      </w:pPr>
      <w:r>
        <w:t xml:space="preserve">       │ copie</w:t>
      </w:r>
    </w:p>
    <w:p>
      <w:pPr>
        <w:pStyle w:val="CodeBlock"/>
        <w:keepNext/>
        <w:keepLines/>
        <w:spacing w:after="0"/>
      </w:pPr>
      <w:r>
        <w:t xml:space="preserve">       ▼</w:t>
      </w:r>
    </w:p>
    <w:p>
      <w:pPr>
        <w:pStyle w:val="CodeBlock"/>
        <w:keepLines/>
        <w:spacing w:after="0"/>
      </w:pPr>
      <w:r>
        <w:t>Hypothèse du scénario manuel</w:t>
      </w:r>
    </w:p>
    <w:p>
      <w:r>
        <w:t>Après copie, le scénario ne dépend plus dynamiquement du template. Une modification ultérieure du template ne modifie pas les scénarios existants.</w:t>
      </w:r>
    </w:p>
    <w:p>
      <w:pPr>
        <w:pStyle w:val="Heading1"/>
        <w:keepNext/>
        <w:keepLines/>
      </w:pPr>
      <w:r>
        <w:t>8. Hypothèse du scénario actif</w:t>
      </w:r>
    </w:p>
    <w:p>
      <w:r>
        <w:t>L’application dispose toujours d’un scénario actif. Le bouton Hypothèse ouvre l’éditeur de l’hypothèse propre au scénario manuel actif.</w:t>
      </w:r>
    </w:p>
    <w:p>
      <w:pPr>
        <w:pStyle w:val="Heading2"/>
        <w:keepNext/>
        <w:keepLines/>
      </w:pPr>
      <w:r>
        <w:t>8.1 Propriété et persistance</w:t>
      </w:r>
    </w:p>
    <w:p>
      <w:pPr>
        <w:pStyle w:val="ListBullet"/>
      </w:pPr>
      <w:r>
        <w:t>L’hypothèse appartient au scénario manuel.</w:t>
      </w:r>
    </w:p>
    <w:p>
      <w:pPr>
        <w:pStyle w:val="ListBullet"/>
      </w:pPr>
      <w:r>
        <w:t>Elle est enregistrée dans le XML du scénario avec la topologie.</w:t>
      </w:r>
    </w:p>
    <w:p>
      <w:pPr>
        <w:pStyle w:val="ListBullet"/>
      </w:pPr>
      <w:r>
        <w:t>Elle est autonome après son éventuelle initialisation depuis un template.</w:t>
      </w:r>
    </w:p>
    <w:p>
      <w:pPr>
        <w:pStyle w:val="ListBullet"/>
      </w:pPr>
      <w:r>
        <w:t>Elle contient les 32 références de rang vers les triangles du catalogue.</w:t>
      </w:r>
    </w:p>
    <w:p>
      <w:pPr>
        <w:pStyle w:val="Heading2"/>
        <w:keepNext/>
        <w:keepLines/>
      </w:pPr>
      <w:r>
        <w:t>8.2 Interrogation en direct</w:t>
      </w:r>
    </w:p>
    <w:p>
      <w:r>
        <w:t>Lorsqu’un triangle est modifié ou qu’une suppression est demandée, l’application doit pouvoir interroger l’état en mémoire de l’hypothèse et de la topologie actives. La persistance sur disque ne doit pas être considérée comme la seule source pour l’état courant non enregistré.</w:t>
      </w:r>
    </w:p>
    <w:p>
      <w:pPr>
        <w:pStyle w:val="Heading1"/>
        <w:keepNext/>
        <w:keepLines/>
      </w:pPr>
      <w:r>
        <w:t>9. UX cible</w:t>
      </w:r>
    </w:p>
    <w:p>
      <w:pPr>
        <w:pStyle w:val="Heading2"/>
        <w:keepNext/>
        <w:keepLines/>
      </w:pPr>
      <w:r>
        <w:t>9.1 Barre d’outils principale</w:t>
      </w:r>
    </w:p>
    <w:p>
      <w:pPr>
        <w:pStyle w:val="ListBullet"/>
      </w:pPr>
      <w:r>
        <w:t>📚 Catalogue : ouvre une fenêtre avec les onglets Villes, Triangles, Balises, Cartes et Templates.</w:t>
      </w:r>
    </w:p>
    <w:p>
      <w:pPr>
        <w:pStyle w:val="ListBullet"/>
      </w:pPr>
      <w:r>
        <w:t>🧩 Hypothèse : ouvre l’éditeur de l’hypothèse du scénario manuel actif.</w:t>
      </w:r>
    </w:p>
    <w:p>
      <w:pPr>
        <w:pStyle w:val="Heading2"/>
        <w:keepNext/>
        <w:keepLines/>
      </w:pPr>
      <w:r>
        <w:t>9.2 Fenêtre Catalogue</w:t>
      </w:r>
    </w:p>
    <w:p>
      <w:r>
        <w:t>La fenêtre Catalogue regroupe les données partagées sous forme d’onglets. Elle ne modifie jamais directement un scénario actif, sauf lorsqu’une action explicite le demande, par exemple appliquer un template au scénario courant. Les objets référencés sont archivés plutôt que supprimés.</w:t>
      </w:r>
    </w:p>
    <w:p>
      <w:pPr>
        <w:pStyle w:val="CodeBlock"/>
        <w:keepNext/>
        <w:keepLines/>
        <w:spacing w:after="0"/>
      </w:pPr>
      <w:r>
        <w:t>Catalogue</w:t>
      </w:r>
    </w:p>
    <w:p>
      <w:pPr>
        <w:pStyle w:val="CodeBlock"/>
        <w:keepLines/>
        <w:spacing w:after="0"/>
      </w:pPr>
      <w:r>
        <w:t xml:space="preserve">  [ Villes ] [ Triangles ] [ Balises ] [ Cartes ] [ Templates ]</w:t>
      </w:r>
    </w:p>
    <w:p>
      <w:pPr>
        <w:pStyle w:val="Heading2"/>
        <w:keepNext/>
        <w:keepLines/>
      </w:pPr>
      <w:r>
        <w:t>9.3 Éditeur d’hypothèse</w:t>
      </w:r>
    </w:p>
    <w:p>
      <w:r>
        <w:t>L’éditeur est divisé en deux zones principales.</w:t>
      </w:r>
    </w:p>
    <w:tbl>
      <w:tblPr>
        <w:tblStyle w:val="TableGrid"/>
        <w:tblW w:type="auto" w:w="0"/>
        <w:tblLook w:firstColumn="1" w:firstRow="1" w:lastColumn="0" w:lastRow="0" w:noHBand="0" w:noVBand="1" w:val="04A0"/>
      </w:tblPr>
      <w:tblGrid>
        <w:gridCol w:w="5040"/>
        <w:gridCol w:w="5040"/>
      </w:tblGrid>
      <w:tr>
        <w:tc>
          <w:tcPr>
            <w:tcW w:type="dxa" w:w="5040"/>
            <w:shd w:fill="1F4E79"/>
            <w:vAlign w:val="center"/>
          </w:tcPr>
          <w:p>
            <w:pPr>
              <w:spacing w:after="20"/>
            </w:pPr>
            <w:r>
              <w:rPr>
                <w:color w:val="FFFFFF"/>
                <w:sz w:val="18"/>
              </w:rPr>
              <w:t>Zone gauche</w:t>
            </w:r>
          </w:p>
        </w:tc>
        <w:tc>
          <w:tcPr>
            <w:tcW w:type="dxa" w:w="5040"/>
            <w:shd w:fill="1F4E79"/>
            <w:vAlign w:val="center"/>
          </w:tcPr>
          <w:p>
            <w:pPr>
              <w:spacing w:after="20"/>
            </w:pPr>
            <w:r>
              <w:rPr>
                <w:color w:val="FFFFFF"/>
                <w:sz w:val="18"/>
              </w:rPr>
              <w:t>Zone droite</w:t>
            </w:r>
          </w:p>
        </w:tc>
      </w:tr>
      <w:tr>
        <w:tc>
          <w:tcPr>
            <w:tcW w:type="dxa" w:w="5040"/>
            <w:vAlign w:val="center"/>
          </w:tcPr>
          <w:p>
            <w:r>
              <w:t>TreeView du catalogue, regroupée par base, affichant les triangles de lumière disponibles. Les villes, balises et cartes restent administrées dans leurs onglets dédiés.</w:t>
            </w:r>
          </w:p>
        </w:tc>
        <w:tc>
          <w:tcPr>
            <w:tcW w:type="dxa" w:w="5040"/>
            <w:vAlign w:val="center"/>
          </w:tcPr>
          <w:p>
            <w:pPr>
              <w:spacing w:after="20"/>
            </w:pPr>
            <w:r>
              <w:rPr>
                <w:sz w:val="18"/>
              </w:rPr>
              <w:t>16 lignes représentant 16 couples, soit 32 slots autonomes de rangs.</w:t>
            </w:r>
          </w:p>
        </w:tc>
      </w:tr>
    </w:tbl>
    <w:p>
      <w:pPr>
        <w:pStyle w:val="Heading2"/>
        <w:keepNext/>
        <w:keepLines/>
      </w:pPr>
      <w:r>
        <w:t>9.4 Représentation des rangs</w:t>
      </w:r>
    </w:p>
    <w:p>
      <w:pPr>
        <w:pStyle w:val="CodeBlock"/>
        <w:keepNext/>
        <w:keepLines/>
        <w:spacing w:after="0"/>
      </w:pPr>
      <w:r>
        <w:t>Couple 01   Rang 01 [ triangle ]   Rang 02 [ triangle ]</w:t>
      </w:r>
    </w:p>
    <w:p>
      <w:pPr>
        <w:pStyle w:val="CodeBlock"/>
        <w:keepNext/>
        <w:keepLines/>
        <w:spacing w:after="0"/>
      </w:pPr>
      <w:r>
        <w:t>Couple 02   Rang 03 [ triangle ]   Rang 04 [ triangle ]</w:t>
      </w:r>
    </w:p>
    <w:p>
      <w:pPr>
        <w:pStyle w:val="CodeBlock"/>
        <w:keepNext/>
        <w:keepLines/>
        <w:spacing w:after="0"/>
      </w:pPr>
      <w:r>
        <w:t>...</w:t>
      </w:r>
    </w:p>
    <w:p>
      <w:pPr>
        <w:pStyle w:val="CodeBlock"/>
        <w:keepLines/>
        <w:spacing w:after="0"/>
      </w:pPr>
      <w:r>
        <w:t>Couple 16   Rang 31 [ triangle ]   Rang 32 [ triangle ]</w:t>
      </w:r>
    </w:p>
    <w:p>
      <w:r>
        <w:t>Chaque slot est un widget autonome connaissant son numéro de rang et le triangle affecté. Un composant parent représente le couple et connaît ses deux slots.</w:t>
      </w:r>
    </w:p>
    <w:p>
      <w:pPr>
        <w:pStyle w:val="Heading2"/>
        <w:keepNext/>
        <w:keepLines/>
      </w:pPr>
      <w:r>
        <w:t>9.5 Actions minimales</w:t>
      </w:r>
    </w:p>
    <w:p>
      <w:pPr>
        <w:pStyle w:val="ListBullet"/>
      </w:pPr>
      <w:r>
        <w:t>Glisser-déposer d’un triangle vers un rang.</w:t>
      </w:r>
    </w:p>
    <w:p>
      <w:pPr>
        <w:pStyle w:val="ListBullet"/>
      </w:pPr>
      <w:r>
        <w:t>Glisser-déposer de deux triangles sélectionnés vers un couple.</w:t>
      </w:r>
    </w:p>
    <w:p>
      <w:pPr>
        <w:pStyle w:val="ListBullet"/>
      </w:pPr>
      <w:r>
        <w:t>Retirer le contenu d’un rang.</w:t>
      </w:r>
    </w:p>
    <w:p>
      <w:pPr>
        <w:pStyle w:val="ListBullet"/>
      </w:pPr>
      <w:r>
        <w:t>Inverser les deux rangs d’un couple.</w:t>
      </w:r>
    </w:p>
    <w:p>
      <w:pPr>
        <w:pStyle w:val="ListBullet"/>
      </w:pPr>
      <w:r>
        <w:t>Déplacer un couple dans l’ordre global, selon les mécanismes retenus en conception.</w:t>
      </w:r>
    </w:p>
    <w:p>
      <w:pPr>
        <w:pStyle w:val="ListBullet"/>
      </w:pPr>
      <w:r>
        <w:t>Charger ou réinitialiser l’hypothèse depuis un template.</w:t>
      </w:r>
    </w:p>
    <w:p>
      <w:pPr>
        <w:pStyle w:val="ListBullet"/>
      </w:pPr>
      <w:r>
        <w:t>Enregistrer l’hypothèse courante comme nouveau template.</w:t>
      </w:r>
    </w:p>
    <w:p>
      <w:pPr>
        <w:pStyle w:val="ListBullet"/>
      </w:pPr>
      <w:r>
        <w:t>Appliquer les modifications.</w:t>
      </w:r>
    </w:p>
    <w:p>
      <w:pPr>
        <w:pStyle w:val="ListBullet"/>
      </w:pPr>
      <w:r>
        <w:t>Annuler et fermer sans effet.</w:t>
      </w:r>
    </w:p>
    <w:p>
      <w:pPr>
        <w:pStyle w:val="Heading1"/>
        <w:keepNext/>
        <w:keepLines/>
      </w:pPr>
      <w:r>
        <w:t>10. Règles de drag &amp; drop</w:t>
      </w:r>
    </w:p>
    <w:p>
      <w:pPr>
        <w:pStyle w:val="Heading2"/>
        <w:keepNext/>
        <w:keepLines/>
      </w:pPr>
      <w:r>
        <w:t>10.1 Principe technique UX</w:t>
      </w:r>
    </w:p>
    <w:p>
      <w:r>
        <w:t>Le drag &amp; drop est interne à la fenêtre Tkinter. Il ne nécessite pas un protocole système. Les événements de souris sont disponibles sur les widgets standards, comme sur un Canvas.</w:t>
      </w:r>
    </w:p>
    <w:p>
      <w:pPr>
        <w:pStyle w:val="CodeBlock"/>
        <w:keepNext/>
        <w:keepLines/>
        <w:spacing w:after="0"/>
      </w:pPr>
      <w:r>
        <w:t>&lt;ButtonPress-1&gt;</w:t>
      </w:r>
    </w:p>
    <w:p>
      <w:pPr>
        <w:pStyle w:val="CodeBlock"/>
        <w:keepNext/>
        <w:keepLines/>
        <w:spacing w:after="0"/>
      </w:pPr>
      <w:r>
        <w:t>&lt;B1-Motion&gt;</w:t>
      </w:r>
    </w:p>
    <w:p>
      <w:pPr>
        <w:pStyle w:val="CodeBlock"/>
        <w:keepNext/>
        <w:keepLines/>
        <w:spacing w:after="0"/>
      </w:pPr>
      <w:r>
        <w:t>&lt;ButtonRelease-1&gt;</w:t>
      </w:r>
    </w:p>
    <w:p>
      <w:pPr>
        <w:pStyle w:val="CodeBlock"/>
        <w:keepNext/>
        <w:keepLines/>
        <w:spacing w:after="0"/>
      </w:pPr>
      <w:r/>
    </w:p>
    <w:p>
      <w:pPr>
        <w:pStyle w:val="CodeBlock"/>
        <w:keepLines/>
        <w:spacing w:after="0"/>
      </w:pPr>
      <w:r>
        <w:t>winfo_containing(x_root, y_root)</w:t>
      </w:r>
    </w:p>
    <w:p>
      <w:pPr>
        <w:pStyle w:val="Heading2"/>
        <w:keepNext/>
        <w:keepLines/>
      </w:pPr>
      <w:r>
        <w:t>10.2 Dépôt simple</w:t>
      </w:r>
    </w:p>
    <w:p>
      <w:pPr>
        <w:pStyle w:val="ListBullet"/>
      </w:pPr>
      <w:r>
        <w:t>Une sélection d’un triangle peut être déposée sur un slot de rang.</w:t>
      </w:r>
    </w:p>
    <w:p>
      <w:pPr>
        <w:pStyle w:val="ListBullet"/>
      </w:pPr>
      <w:r>
        <w:t>Le dépôt sur un rang vide prépare une affectation.</w:t>
      </w:r>
    </w:p>
    <w:p>
      <w:pPr>
        <w:pStyle w:val="ListBullet"/>
      </w:pPr>
      <w:r>
        <w:t>Le dépôt sur un rang occupé prépare un remplacement.</w:t>
      </w:r>
    </w:p>
    <w:p>
      <w:pPr>
        <w:pStyle w:val="ListBullet"/>
      </w:pPr>
      <w:r>
        <w:t>Le modèle réel n’est pas modifié avant Appliquer.</w:t>
      </w:r>
    </w:p>
    <w:p>
      <w:pPr>
        <w:pStyle w:val="Heading2"/>
        <w:keepNext/>
        <w:keepLines/>
      </w:pPr>
      <w:r>
        <w:t>10.3 Dépôt double</w:t>
      </w:r>
    </w:p>
    <w:p>
      <w:pPr>
        <w:pStyle w:val="ListBullet"/>
      </w:pPr>
      <w:r>
        <w:t>La TreeView autorise une sélection multiple.</w:t>
      </w:r>
    </w:p>
    <w:p>
      <w:pPr>
        <w:pStyle w:val="ListBullet"/>
      </w:pPr>
      <w:r>
        <w:t>Deux triangles peuvent être sélectionnés et déposés sur une ligne de couple.</w:t>
      </w:r>
    </w:p>
    <w:p>
      <w:pPr>
        <w:pStyle w:val="ListBullet"/>
      </w:pPr>
      <w:r>
        <w:t>Les deux triangles doivent avoir la même base.</w:t>
      </w:r>
    </w:p>
    <w:p>
      <w:pPr>
        <w:pStyle w:val="ListBullet"/>
      </w:pPr>
      <w:r>
        <w:t>Les deux triangles doivent être distincts.</w:t>
      </w:r>
    </w:p>
    <w:p>
      <w:pPr>
        <w:pStyle w:val="ListBullet"/>
      </w:pPr>
      <w:r>
        <w:t>Ils ne doivent pas déjà être utilisés ailleurs dans l’hypothèse.</w:t>
      </w:r>
    </w:p>
    <w:p>
      <w:pPr>
        <w:pStyle w:val="ListBullet"/>
      </w:pPr>
      <w:r>
        <w:t>L’ordre d’affectation doit être déterministe, de préférence l’ordre d’affichage dans la TreeView.</w:t>
      </w:r>
    </w:p>
    <w:p>
      <w:pPr>
        <w:pStyle w:val="ListBullet"/>
      </w:pPr>
      <w:r>
        <w:t>Un bouton d’inversion permet de permuter les deux rangs après dépôt.</w:t>
      </w:r>
    </w:p>
    <w:p>
      <w:pPr>
        <w:pStyle w:val="Heading2"/>
        <w:keepNext/>
        <w:keepLines/>
      </w:pPr>
      <w:r>
        <w:t>10.4 Retours visuels</w:t>
      </w:r>
    </w:p>
    <w:p>
      <w:pPr>
        <w:pStyle w:val="ListBullet"/>
      </w:pPr>
      <w:r>
        <w:t>Cible valide : surbrillance positive.</w:t>
      </w:r>
    </w:p>
    <w:p>
      <w:pPr>
        <w:pStyle w:val="ListBullet"/>
      </w:pPr>
      <w:r>
        <w:t>Cible invalide : indication visuelle explicite et refus du dépôt.</w:t>
      </w:r>
    </w:p>
    <w:p>
      <w:pPr>
        <w:pStyle w:val="ListBullet"/>
      </w:pPr>
      <w:r>
        <w:t>Cible occupée : indication qu’un remplacement sera préparé.</w:t>
      </w:r>
    </w:p>
    <w:p>
      <w:pPr>
        <w:pStyle w:val="ListBullet"/>
      </w:pPr>
      <w:r>
        <w:t>Un message synthétique explique la règle violée sans interrompre inutilement le flux.</w:t>
      </w:r>
    </w:p>
    <w:p>
      <w:pPr>
        <w:pStyle w:val="Heading1"/>
        <w:keepNext/>
        <w:keepLines/>
      </w:pPr>
      <w:r>
        <w:t>11. Application transactionnelle à la topologie</w:t>
      </w:r>
    </w:p>
    <w:p>
      <w:r>
        <w:t>L’éditeur manipule une copie de travail. Les modifications ne touchent ni l’hypothèse réelle ni la topologie avant l’action Appliquer.</w:t>
      </w:r>
    </w:p>
    <w:p>
      <w:pPr>
        <w:pStyle w:val="Heading2"/>
        <w:keepNext/>
        <w:keepLines/>
      </w:pPr>
      <w:r>
        <w:t>11.1 Cycle d’application</w:t>
      </w:r>
    </w:p>
    <w:p>
      <w:pPr>
        <w:pStyle w:val="ListNumber"/>
      </w:pPr>
      <w:r>
        <w:t>Valider la complétude des 32 rangs.</w:t>
      </w:r>
    </w:p>
    <w:p>
      <w:pPr>
        <w:pStyle w:val="ListNumber"/>
      </w:pPr>
      <w:r>
        <w:t>Valider toutes les contraintes métier.</w:t>
      </w:r>
    </w:p>
    <w:p>
      <w:pPr>
        <w:pStyle w:val="ListNumber"/>
      </w:pPr>
      <w:r>
        <w:t>Construire ou simuler la géométrie résultante sans mutation irréversible.</w:t>
      </w:r>
    </w:p>
    <w:p>
      <w:pPr>
        <w:pStyle w:val="ListNumber"/>
      </w:pPr>
      <w:r>
        <w:t>Tester les chevauchements.</w:t>
      </w:r>
    </w:p>
    <w:p>
      <w:pPr>
        <w:pStyle w:val="ListNumber"/>
      </w:pPr>
      <w:r>
        <w:t>Si aucun chevauchement bloquant n’est détecté, appliquer l’hypothèse et les mises à jour géométriques.</w:t>
      </w:r>
    </w:p>
    <w:p>
      <w:pPr>
        <w:pStyle w:val="ListNumber"/>
      </w:pPr>
      <w:r>
        <w:t>Si un chevauchement bloque la conservation de l’assemblage, demander une décision à l’utilisateur.</w:t>
      </w:r>
    </w:p>
    <w:p>
      <w:pPr>
        <w:pStyle w:val="ListNumber"/>
      </w:pPr>
      <w:r>
        <w:t>Enregistrer uniquement après validation du scénario.</w:t>
      </w:r>
    </w:p>
    <w:p>
      <w:pPr>
        <w:pStyle w:val="Heading2"/>
        <w:keepNext/>
        <w:keepLines/>
      </w:pPr>
      <w:r>
        <w:t>11.2 Chevauchement</w:t>
      </w:r>
    </w:p>
    <w:p>
      <w:pPr>
        <w:pStyle w:val="CodeBlock"/>
        <w:keepNext/>
        <w:keepLines/>
        <w:spacing w:after="0"/>
      </w:pPr>
      <w:r>
        <w:t>La nouvelle hypothèse provoque un chevauchement incompatible</w:t>
      </w:r>
    </w:p>
    <w:p>
      <w:pPr>
        <w:pStyle w:val="CodeBlock"/>
        <w:keepNext/>
        <w:keepLines/>
        <w:spacing w:after="0"/>
      </w:pPr>
      <w:r>
        <w:t>avec l’assemblage actuel.</w:t>
      </w:r>
    </w:p>
    <w:p>
      <w:pPr>
        <w:pStyle w:val="CodeBlock"/>
        <w:keepNext/>
        <w:keepLines/>
        <w:spacing w:after="0"/>
      </w:pPr>
      <w:r/>
    </w:p>
    <w:p>
      <w:pPr>
        <w:pStyle w:val="CodeBlock"/>
        <w:keepLines/>
        <w:spacing w:after="0"/>
      </w:pPr>
      <w:r>
        <w:t>[Dégrouper et appliquer]   [Annuler]</w:t>
      </w:r>
    </w:p>
    <w:p>
      <w:pPr>
        <w:pStyle w:val="ListBullet"/>
      </w:pPr>
      <w:r>
        <w:t>Dégrouper et appliquer : applique la nouvelle hypothèse puis supprime les groupes ou assemblages devenus incohérents.</w:t>
      </w:r>
    </w:p>
    <w:p>
      <w:pPr>
        <w:pStyle w:val="ListBullet"/>
      </w:pPr>
      <w:r>
        <w:t>Annuler : laisse l’hypothèse, la topologie et les groupes strictement inchangés.</w:t>
      </w:r>
    </w:p>
    <w:p>
      <w:pPr>
        <w:pStyle w:val="ListBullet"/>
      </w:pPr>
      <w:r>
        <w:t>La détection et la décision doivent intervenir avant toute mutation irréversible.</w:t>
      </w:r>
    </w:p>
    <w:p>
      <w:pPr>
        <w:pStyle w:val="Heading1"/>
        <w:keepNext/>
        <w:keepLines/>
      </w:pPr>
      <w:r>
        <w:t>12. Scénarios automatiques</w:t>
      </w:r>
    </w:p>
    <w:p>
      <w:pPr>
        <w:pStyle w:val="Heading2"/>
        <w:keepNext/>
        <w:keepLines/>
      </w:pPr>
      <w:r>
        <w:t>12.1 Cycle de génération</w:t>
      </w:r>
    </w:p>
    <w:p>
      <w:pPr>
        <w:pStyle w:val="CodeBlock"/>
        <w:keepNext/>
        <w:keepLines/>
        <w:spacing w:after="0"/>
      </w:pPr>
      <w:r>
        <w:t>Scénario manuel actif</w:t>
      </w:r>
    </w:p>
    <w:p>
      <w:pPr>
        <w:pStyle w:val="CodeBlock"/>
        <w:keepNext/>
        <w:keepLines/>
        <w:spacing w:after="0"/>
      </w:pPr>
      <w:r>
        <w:t xml:space="preserve">  └── Hypothèse courante</w:t>
      </w:r>
    </w:p>
    <w:p>
      <w:pPr>
        <w:pStyle w:val="CodeBlock"/>
        <w:keepNext/>
        <w:keepLines/>
        <w:spacing w:after="0"/>
      </w:pPr>
      <w:r>
        <w:t xml:space="preserve">       └── Lancer la génération</w:t>
      </w:r>
    </w:p>
    <w:p>
      <w:pPr>
        <w:pStyle w:val="CodeBlock"/>
        <w:keepLines/>
        <w:spacing w:after="0"/>
      </w:pPr>
      <w:r>
        <w:t xml:space="preserve">            └── N scénarios automatiques éphémères</w:t>
      </w:r>
    </w:p>
    <w:p>
      <w:pPr>
        <w:pStyle w:val="Heading2"/>
        <w:keepNext/>
        <w:keepLines/>
      </w:pPr>
      <w:r>
        <w:t>12.2 Règles</w:t>
      </w:r>
    </w:p>
    <w:p>
      <w:pPr>
        <w:pStyle w:val="ListBullet"/>
      </w:pPr>
      <w:r>
        <w:t>La fenêtre de génération prend toujours l’hypothèse du scénario manuel courant.</w:t>
      </w:r>
    </w:p>
    <w:p>
      <w:pPr>
        <w:pStyle w:val="ListBullet"/>
      </w:pPr>
      <w:r>
        <w:t>Les scénarios automatiques générés ne disposent pas d’un éditeur d’hypothèse.</w:t>
      </w:r>
    </w:p>
    <w:p>
      <w:pPr>
        <w:pStyle w:val="ListBullet"/>
      </w:pPr>
      <w:r>
        <w:t>Ils ne sont pas modifiables par propagation d’une nouvelle hypothèse.</w:t>
      </w:r>
    </w:p>
    <w:p>
      <w:pPr>
        <w:pStyle w:val="ListBullet"/>
      </w:pPr>
      <w:r>
        <w:t>Pour changer les hypothèses, l’utilisateur modifie le scénario manuel, applique la modification, puis relance la simulation.</w:t>
      </w:r>
    </w:p>
    <w:p>
      <w:pPr>
        <w:pStyle w:val="ListBullet"/>
      </w:pPr>
      <w:r>
        <w:t>Une nouvelle génération remplace ou invalide les résultats automatiques précédents selon le comportement existant de l’application.</w:t>
      </w:r>
    </w:p>
    <w:p>
      <w:pPr>
        <w:pStyle w:val="Heading2"/>
        <w:keepNext/>
        <w:keepLines/>
      </w:pPr>
      <w:r>
        <w:t>12.3 Conversion en scénario manuel</w:t>
      </w:r>
    </w:p>
    <w:p>
      <w:r>
        <w:t>Lorsqu’un scénario automatique est sauvegardé, il devient un nouveau scénario manuel indépendant.</w:t>
      </w:r>
    </w:p>
    <w:p>
      <w:pPr>
        <w:pStyle w:val="CodeBlock"/>
        <w:keepNext/>
        <w:keepLines/>
        <w:spacing w:after="0"/>
      </w:pPr>
      <w:r>
        <w:t>Scénario automatique</w:t>
      </w:r>
    </w:p>
    <w:p>
      <w:pPr>
        <w:pStyle w:val="CodeBlock"/>
        <w:keepNext/>
        <w:keepLines/>
        <w:spacing w:after="0"/>
      </w:pPr>
      <w:r>
        <w:t xml:space="preserve">  └── Enregistrer sous…</w:t>
      </w:r>
    </w:p>
    <w:p>
      <w:pPr>
        <w:pStyle w:val="CodeBlock"/>
        <w:keepNext/>
        <w:keepLines/>
        <w:spacing w:after="0"/>
      </w:pPr>
      <w:r>
        <w:t xml:space="preserve">       ├── copie de la topologie</w:t>
      </w:r>
    </w:p>
    <w:p>
      <w:pPr>
        <w:pStyle w:val="CodeBlock"/>
        <w:keepNext/>
        <w:keepLines/>
        <w:spacing w:after="0"/>
      </w:pPr>
      <w:r>
        <w:t xml:space="preserve">       ├── copie de l’assemblage</w:t>
      </w:r>
    </w:p>
    <w:p>
      <w:pPr>
        <w:pStyle w:val="CodeBlock"/>
        <w:keepNext/>
        <w:keepLines/>
        <w:spacing w:after="0"/>
      </w:pPr>
      <w:r>
        <w:t xml:space="preserve">       └── copie de l’hypothèse source</w:t>
      </w:r>
    </w:p>
    <w:p>
      <w:pPr>
        <w:pStyle w:val="CodeBlock"/>
        <w:keepLines/>
        <w:spacing w:after="0"/>
      </w:pPr>
      <w:r>
        <w:t xml:space="preserve">            =&gt; nouveau scénario manuel XML</w:t>
      </w:r>
    </w:p>
    <w:p>
      <w:pPr>
        <w:pStyle w:val="Heading1"/>
        <w:keepNext/>
        <w:keepLines/>
      </w:pPr>
      <w:r>
        <w:t>13. Persistance et organisation des fichiers</w:t>
      </w:r>
    </w:p>
    <w:p>
      <w:pPr>
        <w:pStyle w:val="Heading2"/>
        <w:keepNext/>
        <w:keepLines/>
      </w:pPr>
      <w:r>
        <w:t>13.1 Décision</w:t>
      </w:r>
    </w:p>
    <w:tbl>
      <w:tblPr>
        <w:tblW w:type="auto" w:w="0"/>
        <w:jc w:val="center"/>
        <w:tblLayout w:type="autofit"/>
        <w:tblLook w:firstColumn="1" w:firstRow="1" w:lastColumn="0" w:lastRow="0" w:noHBand="0" w:noVBand="1" w:val="04A0"/>
      </w:tblPr>
      <w:tblGrid>
        <w:gridCol w:w="10080"/>
      </w:tblGrid>
      <w:tr>
        <w:tc>
          <w:tcPr>
            <w:tcW w:type="dxa" w:w="10080"/>
            <w:shd w:fill="EAF2F8"/>
            <w:vAlign w:val="center"/>
          </w:tcPr>
          <w:p>
            <w:pPr>
              <w:spacing w:after="20"/>
            </w:pPr>
            <w:r>
              <w:rPr>
                <w:b/>
                <w:color w:val="1F4E79"/>
                <w:sz w:val="18"/>
              </w:rPr>
              <w:t xml:space="preserve">Décision retenue — </w:t>
            </w:r>
            <w:r>
              <w:rPr>
                <w:sz w:val="18"/>
              </w:rPr>
              <w:t>SQLite n’est pas utilisé. Le catalogue est conservé dans un document JSON unique, versionné et validé. Les scénarios restent en XML.</w:t>
            </w:r>
          </w:p>
        </w:tc>
      </w:tr>
    </w:tbl>
    <w:p/>
    <w:p>
      <w:pPr>
        <w:pStyle w:val="Heading2"/>
        <w:keepNext/>
        <w:keepLines/>
      </w:pPr>
      <w:r>
        <w:t>13.2 Organisation cible</w:t>
      </w:r>
    </w:p>
    <w:p>
      <w:pPr>
        <w:pStyle w:val="CodeBlock"/>
        <w:keepNext/>
        <w:keepLines/>
        <w:spacing w:after="0"/>
      </w:pPr>
      <w:r>
        <w:t>project/</w:t>
      </w:r>
    </w:p>
    <w:p>
      <w:pPr>
        <w:pStyle w:val="CodeBlock"/>
        <w:keepNext/>
        <w:keepLines/>
        <w:spacing w:after="0"/>
      </w:pPr>
      <w:r>
        <w:t xml:space="preserve">  ├── data/</w:t>
      </w:r>
    </w:p>
    <w:p>
      <w:pPr>
        <w:pStyle w:val="CodeBlock"/>
        <w:keepNext/>
        <w:keepLines/>
        <w:spacing w:after="0"/>
      </w:pPr>
      <w:r>
        <w:t xml:space="preserve">   │    └── catalogue.json  (villes, triangles, balises, cartes, templates)</w:t>
      </w:r>
    </w:p>
    <w:p>
      <w:pPr>
        <w:pStyle w:val="CodeBlock"/>
        <w:keepNext/>
        <w:keepLines/>
        <w:spacing w:after="0"/>
      </w:pPr>
      <w:r>
        <w:t xml:space="preserve">  ├── config/</w:t>
      </w:r>
    </w:p>
    <w:p>
      <w:pPr>
        <w:pStyle w:val="CodeBlock"/>
        <w:keepNext/>
        <w:keepLines/>
        <w:spacing w:after="0"/>
      </w:pPr>
      <w:r>
        <w:t xml:space="preserve">   │    └── —  (DateCode est un Enum applicatif ; aucun CSV de codes n’est requis)</w:t>
      </w:r>
    </w:p>
    <w:p>
      <w:pPr>
        <w:pStyle w:val="CodeBlock"/>
        <w:keepNext/>
        <w:keepLines/>
        <w:spacing w:after="0"/>
      </w:pPr>
      <w:r>
        <w:t xml:space="preserve">  └── scenarios/</w:t>
      </w:r>
    </w:p>
    <w:p>
      <w:pPr>
        <w:pStyle w:val="CodeBlock"/>
        <w:keepNext/>
        <w:keepLines/>
        <w:spacing w:after="0"/>
      </w:pPr>
      <w:r>
        <w:t xml:space="preserve">       ├── scenario_001.xml</w:t>
      </w:r>
    </w:p>
    <w:p>
      <w:pPr>
        <w:pStyle w:val="CodeBlock"/>
        <w:keepNext/>
        <w:keepLines/>
        <w:spacing w:after="0"/>
      </w:pPr>
      <w:r>
        <w:t xml:space="preserve">       ├── scenario_002.xml</w:t>
      </w:r>
    </w:p>
    <w:p>
      <w:pPr>
        <w:pStyle w:val="CodeBlock"/>
        <w:keepLines/>
        <w:spacing w:after="0"/>
      </w:pPr>
      <w:r>
        <w:t xml:space="preserve">       └── ...</w:t>
      </w:r>
    </w:p>
    <w:p>
      <w:pPr>
        <w:pStyle w:val="Heading2"/>
        <w:keepNext/>
        <w:keepLines/>
      </w:pPr>
      <w:r>
        <w:t>13.3 Exemple logique de catalogue.json</w:t>
      </w:r>
    </w:p>
    <w:p>
      <w:pPr>
        <w:pStyle w:val="CodeBlock"/>
        <w:keepNext/>
        <w:keepLines/>
        <w:spacing w:after="0"/>
      </w:pPr>
      <w:r>
        <w:t>{</w:t>
      </w:r>
    </w:p>
    <w:p>
      <w:pPr>
        <w:pStyle w:val="CodeBlock"/>
        <w:keepNext/>
        <w:keepLines/>
        <w:spacing w:after="0"/>
      </w:pPr>
      <w:r>
        <w:t xml:space="preserve">  "schemaVersion": 1,</w:t>
      </w:r>
    </w:p>
    <w:p>
      <w:pPr>
        <w:pStyle w:val="CodeBlock"/>
        <w:keepNext/>
        <w:keepLines/>
        <w:spacing w:after="0"/>
      </w:pPr>
      <w:r>
        <w:t xml:space="preserve">  "cities": [ ... ],</w:t>
      </w:r>
    </w:p>
    <w:p>
      <w:pPr>
        <w:pStyle w:val="CodeBlock"/>
        <w:keepNext/>
        <w:keepLines/>
        <w:spacing w:after="0"/>
      </w:pPr>
      <w:r>
        <w:t xml:space="preserve">  "triangles": [ ... ],</w:t>
      </w:r>
    </w:p>
    <w:p>
      <w:pPr>
        <w:pStyle w:val="CodeBlock"/>
        <w:keepNext/>
        <w:keepLines/>
        <w:spacing w:after="0"/>
      </w:pPr>
      <w:r>
        <w:t xml:space="preserve">  "markers": [ ... ],</w:t>
      </w:r>
    </w:p>
    <w:p>
      <w:pPr>
        <w:pStyle w:val="CodeBlock"/>
      </w:pPr>
      <w:r>
        <w:t xml:space="preserve">  "maps": [ ... ],</w:t>
      </w:r>
    </w:p>
    <w:p>
      <w:pPr>
        <w:pStyle w:val="CodeBlock"/>
      </w:pPr>
      <w:r>
        <w:t xml:space="preserve">  "hypothesisTemplates": [ ... ]</w:t>
      </w:r>
    </w:p>
    <w:p>
      <w:pPr>
        <w:pStyle w:val="CodeBlock"/>
        <w:keepLines/>
        <w:spacing w:after="0"/>
      </w:pPr>
      <w:r>
        <w:t>}</w:t>
      </w:r>
    </w:p>
    <w:p>
      <w:pPr>
        <w:pStyle w:val="Heading2"/>
        <w:keepNext/>
        <w:keepLines/>
      </w:pPr>
      <w:r>
        <w:t>13.4 Sauvegarde atomique</w:t>
      </w:r>
    </w:p>
    <w:p>
      <w:pPr>
        <w:pStyle w:val="ListNumber"/>
      </w:pPr>
      <w:r>
        <w:t>Valider l’ensemble du catalogue en mémoire.</w:t>
      </w:r>
    </w:p>
    <w:p>
      <w:pPr>
        <w:pStyle w:val="ListNumber"/>
      </w:pPr>
      <w:r>
        <w:t>Sérialiser vers un fichier temporaire.</w:t>
      </w:r>
    </w:p>
    <w:p>
      <w:pPr>
        <w:pStyle w:val="ListNumber"/>
      </w:pPr>
      <w:r>
        <w:t>Fermer et synchroniser l’écriture.</w:t>
      </w:r>
    </w:p>
    <w:p>
      <w:pPr>
        <w:pStyle w:val="ListNumber"/>
      </w:pPr>
      <w:r>
        <w:t>Remplacer atomiquement le fichier principal.</w:t>
      </w:r>
    </w:p>
    <w:p>
      <w:pPr>
        <w:pStyle w:val="ListNumber"/>
      </w:pPr>
      <w:r>
        <w:t>Conserver éventuellement une sauvegarde .bak de la version précédente.</w:t>
      </w:r>
    </w:p>
    <w:p>
      <w:pPr>
        <w:pStyle w:val="ListNumber"/>
      </w:pPr>
      <w:r>
        <w:t>En cas d’échec, laisser le fichier principal intact.</w:t>
      </w:r>
    </w:p>
    <w:p>
      <w:pPr>
        <w:pStyle w:val="Heading2"/>
        <w:keepNext/>
        <w:keepLines/>
      </w:pPr>
      <w:r>
        <w:t>13.5 Version de schéma</w:t>
      </w:r>
    </w:p>
    <w:p>
      <w:r>
        <w:t>Le JSON doit contenir un champ schemaVersion. Toute évolution incompatible du format devra être accompagnée d’une migration explicite ou d’un message de version non supportée. Toute évolution du catalogue doit préserver l’ouverture des anciens scénarios XML, notamment leurs références de CityId, TriangleId, MapId et de balise.</w:t>
      </w:r>
    </w:p>
    <w:p>
      <w:pPr>
        <w:pStyle w:val="Heading1"/>
        <w:keepNext/>
        <w:keepLines/>
      </w:pPr>
      <w:r>
        <w:t>14. Validation et intégrité</w:t>
      </w:r>
    </w:p>
    <w:p>
      <w:r>
        <w:t>La validation applicative est obligatoire, car JSON ne fournit aucune intégrité référentielle native.</w:t>
      </w:r>
    </w:p>
    <w:p>
      <w:pPr>
        <w:pStyle w:val="Heading2"/>
        <w:keepNext/>
        <w:keepLines/>
      </w:pPr>
      <w:r>
        <w:t>14.1 Validation du catalogue</w:t>
      </w:r>
    </w:p>
    <w:p>
      <w:pPr>
        <w:pStyle w:val="ListBullet"/>
      </w:pPr>
      <w:r>
        <w:t>Identifiants uniques pour chaque collection.</w:t>
      </w:r>
    </w:p>
    <w:p>
      <w:pPr>
        <w:pStyle w:val="ListBullet"/>
      </w:pPr>
      <w:r>
        <w:t>Références de triangles et de balises vers des villes existantes.</w:t>
      </w:r>
    </w:p>
    <w:p>
      <w:pPr>
        <w:pStyle w:val="ListBullet"/>
      </w:pPr>
      <w:r>
        <w:t>Absence de triangle avec base et lumière identiques.</w:t>
      </w:r>
    </w:p>
    <w:p>
      <w:pPr>
        <w:pStyle w:val="ListBullet"/>
      </w:pPr>
      <w:r>
        <w:t>Unicité de la paire (baseCityId, lightCityId).</w:t>
      </w:r>
    </w:p>
    <w:p>
      <w:pPr>
        <w:pStyle w:val="ListBullet"/>
      </w:pPr>
      <w:r>
        <w:t>Code de date appartenant à l’Enum DateCode contrôlé.</w:t>
      </w:r>
    </w:p>
    <w:p>
      <w:pPr>
        <w:pStyle w:val="ListBullet"/>
      </w:pPr>
      <w:r>
        <w:t>Templates complets et cohérents.</w:t>
      </w:r>
    </w:p>
    <w:p>
      <w:pPr>
        <w:pStyle w:val="ListBullet"/>
      </w:pPr>
      <w:r>
        <w:t>Aucune référence vers un triangle, une ville, une balise ou une carte absente.</w:t>
      </w:r>
    </w:p>
    <w:p>
      <w:pPr>
        <w:pStyle w:val="ListBullet"/>
      </w:pPr>
      <w:r>
        <w:t>Toute MapId référencée par un scénario désigne une carte existante, y compris lorsqu’elle est archivée.</w:t>
      </w:r>
    </w:p>
    <w:p>
      <w:pPr>
        <w:pStyle w:val="Heading2"/>
        <w:keepNext/>
        <w:keepLines/>
      </w:pPr>
      <w:r>
        <w:t>14.2 Validation d’une hypothèse</w:t>
      </w:r>
    </w:p>
    <w:p>
      <w:pPr>
        <w:pStyle w:val="ListBullet"/>
      </w:pPr>
      <w:r>
        <w:t>32 rangs exactement.</w:t>
      </w:r>
    </w:p>
    <w:p>
      <w:pPr>
        <w:pStyle w:val="ListBullet"/>
      </w:pPr>
      <w:r>
        <w:t>Aucun rang vide.</w:t>
      </w:r>
    </w:p>
    <w:p>
      <w:pPr>
        <w:pStyle w:val="ListBullet"/>
      </w:pPr>
      <w:r>
        <w:t>Chaque triangle existe dans le catalogue.</w:t>
      </w:r>
    </w:p>
    <w:p>
      <w:pPr>
        <w:pStyle w:val="ListBullet"/>
      </w:pPr>
      <w:r>
        <w:t>Aucun triangle dupliqué.</w:t>
      </w:r>
    </w:p>
    <w:p>
      <w:pPr>
        <w:pStyle w:val="ListBullet"/>
      </w:pPr>
      <w:r>
        <w:t>Chaque couple contient deux triangles de même base.</w:t>
      </w:r>
    </w:p>
    <w:p>
      <w:pPr>
        <w:pStyle w:val="ListBullet"/>
      </w:pPr>
      <w:r>
        <w:t>Les deux triangles d’un couple sont distincts.</w:t>
      </w:r>
    </w:p>
    <w:p>
      <w:pPr>
        <w:pStyle w:val="Heading1"/>
        <w:keepNext/>
        <w:keepLines/>
      </w:pPr>
      <w:r>
        <w:t>15. Import/export CSV</w:t>
      </w:r>
    </w:p>
    <w:p>
      <w:pPr>
        <w:pStyle w:val="Heading2"/>
        <w:keepNext/>
        <w:keepLines/>
      </w:pPr>
      <w:r>
        <w:t>15.1 Format obligatoire des triangles</w:t>
      </w:r>
    </w:p>
    <w:p>
      <w:pPr>
        <w:pStyle w:val="CodeBlock"/>
        <w:keepLines/>
        <w:spacing w:after="0"/>
      </w:pPr>
      <w:r>
        <w:t>CodeDate;Ouverture;Base;Lumiere</w:t>
      </w:r>
    </w:p>
    <w:p>
      <w:pPr>
        <w:pStyle w:val="Heading2"/>
        <w:keepNext/>
        <w:keepLines/>
      </w:pPr>
      <w:r>
        <w:t>15.2 Import</w:t>
      </w:r>
    </w:p>
    <w:p>
      <w:pPr>
        <w:pStyle w:val="ListBullet"/>
      </w:pPr>
      <w:r>
        <w:t>Le format doit correspondre exactement aux quatre colonnes attendues.</w:t>
      </w:r>
    </w:p>
    <w:p>
      <w:pPr>
        <w:pStyle w:val="ListBullet"/>
      </w:pPr>
      <w:r>
        <w:t>Aucune compatibilité descendante avec d’anciens formats n’est requise.</w:t>
      </w:r>
    </w:p>
    <w:p>
      <w:pPr>
        <w:pStyle w:val="ListBullet"/>
      </w:pPr>
      <w:r>
        <w:t>Ouverture doit désigner Bourges.</w:t>
      </w:r>
    </w:p>
    <w:p>
      <w:pPr>
        <w:pStyle w:val="ListBullet"/>
      </w:pPr>
      <w:r>
        <w:t>Les noms de villes sont résolus vers des CityID existants ou créés selon une règle à fixer en conception détaillée.</w:t>
      </w:r>
    </w:p>
    <w:p>
      <w:pPr>
        <w:pStyle w:val="ListBullet"/>
      </w:pPr>
      <w:r>
        <w:t>Le code de date est résolu vers une valeur de l’Enum DateCode puis normalisé vers sa graphie canonique.</w:t>
      </w:r>
    </w:p>
    <w:p>
      <w:pPr>
        <w:pStyle w:val="ListBullet"/>
      </w:pPr>
      <w:r>
        <w:t>Les doublons fonctionnels sont rejetés.</w:t>
      </w:r>
    </w:p>
    <w:p>
      <w:pPr>
        <w:pStyle w:val="ListBullet"/>
      </w:pPr>
      <w:r>
        <w:t>Un rapport d’import indique le nombre de lignes acceptées, rejetées et la cause de chaque rejet.</w:t>
      </w:r>
    </w:p>
    <w:p>
      <w:pPr>
        <w:pStyle w:val="Heading2"/>
        <w:keepNext/>
        <w:keepLines/>
      </w:pPr>
      <w:r>
        <w:t>15.3 Export</w:t>
      </w:r>
    </w:p>
    <w:p>
      <w:r>
        <w:t>L’export CSV reproduit le format obligatoire et utilise les noms canoniques de villes ainsi que la graphie canonique des valeurs de l’Enum DateCode.</w:t>
      </w:r>
    </w:p>
    <w:p>
      <w:pPr>
        <w:pStyle w:val="Heading1"/>
        <w:keepNext/>
        <w:keepLines/>
      </w:pPr>
      <w:r>
        <w:t>16. Traçabilité et usages</w:t>
      </w:r>
    </w:p>
    <w:p>
      <w:pPr>
        <w:pStyle w:val="Heading2"/>
        <w:keepNext/>
        <w:keepLines/>
      </w:pPr>
      <w:r>
        <w:t>16.1 État actif</w:t>
      </w:r>
    </w:p>
    <w:p>
      <w:r>
        <w:t>Pour connaître les triangles, balises et cartes utilisés dans le scénario courant, l’application interroge directement l’hypothèse, la topologie et les références en mémoire. Cette interrogation doit refléter les changements non encore enregistrés.</w:t>
      </w:r>
    </w:p>
    <w:p>
      <w:pPr>
        <w:pStyle w:val="Heading2"/>
        <w:keepNext/>
        <w:keepLines/>
      </w:pPr>
      <w:r>
        <w:t>16.2 Scénarios enregistrés</w:t>
      </w:r>
    </w:p>
    <w:p>
      <w:r>
        <w:t>Les scénarios sont stockés par défaut dans le répertoire dédié scenarios. Pour connaître l’utilisation persistante d’un objet partagé, l’application peut scanner les XML du répertoire et construire un index en mémoire ou un cache reconstructible.</w:t>
      </w:r>
    </w:p>
    <w:p>
      <w:pPr>
        <w:pStyle w:val="Heading2"/>
        <w:keepNext/>
        <w:keepLines/>
      </w:pPr>
      <w:r>
        <w:t>16.3 Priorité des sources</w:t>
      </w:r>
    </w:p>
    <w:p>
      <w:pPr>
        <w:pStyle w:val="CodeBlock"/>
        <w:keepNext/>
        <w:keepLines/>
        <w:spacing w:after="0"/>
      </w:pPr>
      <w:r>
        <w:t>1. État en mémoire des scénarios chargés</w:t>
      </w:r>
    </w:p>
    <w:p>
      <w:pPr>
        <w:pStyle w:val="CodeBlock"/>
        <w:keepNext/>
        <w:keepLines/>
        <w:spacing w:after="0"/>
      </w:pPr>
      <w:r>
        <w:t>2. Index ou cache des scénarios enregistrés</w:t>
      </w:r>
    </w:p>
    <w:p>
      <w:pPr>
        <w:pStyle w:val="CodeBlock"/>
        <w:keepLines/>
        <w:spacing w:after="0"/>
      </w:pPr>
      <w:r>
        <w:t>3. Scan complet des XML en cas de cache absent ou invalide</w:t>
      </w:r>
    </w:p>
    <w:p>
      <w:r>
        <w:t>Un éventuel cache n’est jamais source de vérité. Il doit pouvoir être supprimé et reconstruit.</w:t>
      </w:r>
    </w:p>
    <w:p>
      <w:pPr>
        <w:pStyle w:val="Heading1"/>
        <w:keepNext/>
        <w:keepLines/>
      </w:pPr>
      <w:r>
        <w:t>17. Cas d’erreur et messages UX</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9"/>
            <w:vAlign w:val="center"/>
          </w:tcPr>
          <w:p>
            <w:pPr>
              <w:spacing w:after="20"/>
            </w:pPr>
            <w:r>
              <w:rPr>
                <w:color w:val="FFFFFF"/>
                <w:sz w:val="18"/>
              </w:rPr>
              <w:t>Situation</w:t>
            </w:r>
          </w:p>
        </w:tc>
        <w:tc>
          <w:tcPr>
            <w:tcW w:type="dxa" w:w="3360"/>
            <w:shd w:fill="1F4E79"/>
            <w:vAlign w:val="center"/>
          </w:tcPr>
          <w:p>
            <w:pPr>
              <w:spacing w:after="20"/>
            </w:pPr>
            <w:r>
              <w:rPr>
                <w:color w:val="FFFFFF"/>
                <w:sz w:val="18"/>
              </w:rPr>
              <w:t>Comportement</w:t>
            </w:r>
          </w:p>
        </w:tc>
        <w:tc>
          <w:tcPr>
            <w:tcW w:type="dxa" w:w="3360"/>
            <w:shd w:fill="1F4E79"/>
            <w:vAlign w:val="center"/>
          </w:tcPr>
          <w:p>
            <w:pPr>
              <w:spacing w:after="20"/>
            </w:pPr>
            <w:r>
              <w:rPr>
                <w:color w:val="FFFFFF"/>
                <w:sz w:val="18"/>
              </w:rPr>
              <w:t>Message attendu</w:t>
            </w:r>
          </w:p>
        </w:tc>
      </w:tr>
      <w:tr>
        <w:tc>
          <w:tcPr>
            <w:tcW w:type="dxa" w:w="3360"/>
            <w:vAlign w:val="center"/>
          </w:tcPr>
          <w:p>
            <w:r>
              <w:t>Code de date hors Enum</w:t>
            </w:r>
          </w:p>
        </w:tc>
        <w:tc>
          <w:tcPr>
            <w:tcW w:type="dxa" w:w="3360"/>
            <w:vAlign w:val="center"/>
          </w:tcPr>
          <w:p>
            <w:r>
              <w:t>Rejet de la ligne ou de la saisie</w:t>
            </w:r>
          </w:p>
        </w:tc>
        <w:tc>
          <w:tcPr>
            <w:tcW w:type="dxa" w:w="3360"/>
            <w:vAlign w:val="center"/>
          </w:tcPr>
          <w:p>
            <w:r>
              <w:t>Code de date non autorisé. Valeurs possibles : Do, Re, Mi, Fa, Sol, La, Si, Zone.</w:t>
            </w:r>
          </w:p>
        </w:tc>
      </w:tr>
      <w:tr>
        <w:tc>
          <w:tcPr>
            <w:tcW w:type="dxa" w:w="3360"/>
            <w:vAlign w:val="center"/>
          </w:tcPr>
          <w:p>
            <w:pPr>
              <w:spacing w:after="20"/>
            </w:pPr>
            <w:r>
              <w:rPr>
                <w:sz w:val="18"/>
              </w:rPr>
              <w:t>Triangle en doublon</w:t>
            </w:r>
          </w:p>
        </w:tc>
        <w:tc>
          <w:tcPr>
            <w:tcW w:type="dxa" w:w="3360"/>
            <w:vAlign w:val="center"/>
          </w:tcPr>
          <w:p>
            <w:pPr>
              <w:spacing w:after="20"/>
            </w:pPr>
            <w:r>
              <w:rPr>
                <w:sz w:val="18"/>
              </w:rPr>
              <w:t>Refus</w:t>
            </w:r>
          </w:p>
        </w:tc>
        <w:tc>
          <w:tcPr>
            <w:tcW w:type="dxa" w:w="3360"/>
            <w:vAlign w:val="center"/>
          </w:tcPr>
          <w:p>
            <w:r>
              <w:t>Un triangle utilisant cette ouverture, cette base et cette lumière existe déjà.</w:t>
            </w:r>
          </w:p>
        </w:tc>
      </w:tr>
      <w:tr>
        <w:tc>
          <w:tcPr>
            <w:tcW w:type="dxa" w:w="3360"/>
            <w:vAlign w:val="center"/>
          </w:tcPr>
          <w:p>
            <w:r>
              <w:t>Suppression d’une ville référencée</w:t>
            </w:r>
          </w:p>
        </w:tc>
        <w:tc>
          <w:tcPr>
            <w:tcW w:type="dxa" w:w="3360"/>
            <w:vAlign w:val="center"/>
          </w:tcPr>
          <w:p>
            <w:r>
              <w:t>Refus ; proposer l’archivage</w:t>
            </w:r>
          </w:p>
        </w:tc>
        <w:tc>
          <w:tcPr>
            <w:tcW w:type="dxa" w:w="3360"/>
            <w:vAlign w:val="center"/>
          </w:tcPr>
          <w:p>
            <w:r>
              <w:t>Cette ville est utilisée par N objet(s) ou scénario(s) et ne peut pas être supprimée.</w:t>
            </w:r>
          </w:p>
        </w:tc>
      </w:tr>
      <w:tr>
        <w:tc>
          <w:tcPr>
            <w:tcW w:type="dxa" w:w="3360"/>
            <w:vAlign w:val="center"/>
          </w:tcPr>
          <w:p>
            <w:r>
              <w:t>Suppression d’un triangle référencé</w:t>
            </w:r>
          </w:p>
        </w:tc>
        <w:tc>
          <w:tcPr>
            <w:tcW w:type="dxa" w:w="3360"/>
            <w:vAlign w:val="center"/>
          </w:tcPr>
          <w:p>
            <w:r>
              <w:t>Refus ; proposer l’archivage</w:t>
            </w:r>
          </w:p>
        </w:tc>
        <w:tc>
          <w:tcPr>
            <w:tcW w:type="dxa" w:w="3360"/>
            <w:vAlign w:val="center"/>
          </w:tcPr>
          <w:p>
            <w:r>
              <w:t>Ce triangle est utilisé par un template ou un scénario et ne peut pas être supprimé.</w:t>
            </w:r>
          </w:p>
        </w:tc>
      </w:tr>
      <w:tr>
        <w:tc>
          <w:tcPr>
            <w:tcW w:type="dxa" w:w="3360"/>
            <w:vAlign w:val="center"/>
          </w:tcPr>
          <w:p>
            <w:pPr>
              <w:spacing w:after="20"/>
            </w:pPr>
            <w:r>
              <w:rPr>
                <w:sz w:val="18"/>
              </w:rPr>
              <w:t>Template incomplet</w:t>
            </w:r>
          </w:p>
        </w:tc>
        <w:tc>
          <w:tcPr>
            <w:tcW w:type="dxa" w:w="3360"/>
            <w:vAlign w:val="center"/>
          </w:tcPr>
          <w:p>
            <w:pPr>
              <w:spacing w:after="20"/>
            </w:pPr>
            <w:r>
              <w:rPr>
                <w:sz w:val="18"/>
              </w:rPr>
              <w:t>Refus d’enregistrement</w:t>
            </w:r>
          </w:p>
        </w:tc>
        <w:tc>
          <w:tcPr>
            <w:tcW w:type="dxa" w:w="3360"/>
            <w:vAlign w:val="center"/>
          </w:tcPr>
          <w:p>
            <w:pPr>
              <w:spacing w:after="20"/>
            </w:pPr>
            <w:r>
              <w:rPr>
                <w:sz w:val="18"/>
              </w:rPr>
              <w:t>Le template doit contenir 32 rangs renseignés.</w:t>
            </w:r>
          </w:p>
        </w:tc>
      </w:tr>
      <w:tr>
        <w:tc>
          <w:tcPr>
            <w:tcW w:type="dxa" w:w="3360"/>
            <w:vAlign w:val="center"/>
          </w:tcPr>
          <w:p>
            <w:pPr>
              <w:spacing w:after="20"/>
            </w:pPr>
            <w:r>
              <w:rPr>
                <w:sz w:val="18"/>
              </w:rPr>
              <w:t>Couple de bases différentes</w:t>
            </w:r>
          </w:p>
        </w:tc>
        <w:tc>
          <w:tcPr>
            <w:tcW w:type="dxa" w:w="3360"/>
            <w:vAlign w:val="center"/>
          </w:tcPr>
          <w:p>
            <w:pPr>
              <w:spacing w:after="20"/>
            </w:pPr>
            <w:r>
              <w:rPr>
                <w:sz w:val="18"/>
              </w:rPr>
              <w:t>Refus du dépôt ou de l’application</w:t>
            </w:r>
          </w:p>
        </w:tc>
        <w:tc>
          <w:tcPr>
            <w:tcW w:type="dxa" w:w="3360"/>
            <w:vAlign w:val="center"/>
          </w:tcPr>
          <w:p>
            <w:pPr>
              <w:spacing w:after="20"/>
            </w:pPr>
            <w:r>
              <w:rPr>
                <w:sz w:val="18"/>
              </w:rPr>
              <w:t>Les deux rangs d’un couple doivent utiliser la même base.</w:t>
            </w:r>
          </w:p>
        </w:tc>
      </w:tr>
      <w:tr>
        <w:tc>
          <w:tcPr>
            <w:tcW w:type="dxa" w:w="3360"/>
            <w:vAlign w:val="center"/>
          </w:tcPr>
          <w:p>
            <w:pPr>
              <w:spacing w:after="20"/>
            </w:pPr>
            <w:r>
              <w:rPr>
                <w:sz w:val="18"/>
              </w:rPr>
              <w:t>Triangle dupliqué dans l’hypothèse</w:t>
            </w:r>
          </w:p>
        </w:tc>
        <w:tc>
          <w:tcPr>
            <w:tcW w:type="dxa" w:w="3360"/>
            <w:vAlign w:val="center"/>
          </w:tcPr>
          <w:p>
            <w:pPr>
              <w:spacing w:after="20"/>
            </w:pPr>
            <w:r>
              <w:rPr>
                <w:sz w:val="18"/>
              </w:rPr>
              <w:t>Refus</w:t>
            </w:r>
          </w:p>
        </w:tc>
        <w:tc>
          <w:tcPr>
            <w:tcW w:type="dxa" w:w="3360"/>
            <w:vAlign w:val="center"/>
          </w:tcPr>
          <w:p>
            <w:pPr>
              <w:spacing w:after="20"/>
            </w:pPr>
            <w:r>
              <w:rPr>
                <w:sz w:val="18"/>
              </w:rPr>
              <w:t>Ce triangle est déjà utilisé au rang N.</w:t>
            </w:r>
          </w:p>
        </w:tc>
      </w:tr>
      <w:tr>
        <w:tc>
          <w:tcPr>
            <w:tcW w:type="dxa" w:w="3360"/>
            <w:vAlign w:val="center"/>
          </w:tcPr>
          <w:p>
            <w:pPr>
              <w:spacing w:after="20"/>
            </w:pPr>
            <w:r>
              <w:rPr>
                <w:sz w:val="18"/>
              </w:rPr>
              <w:t>Chevauchement géométrique</w:t>
            </w:r>
          </w:p>
        </w:tc>
        <w:tc>
          <w:tcPr>
            <w:tcW w:type="dxa" w:w="3360"/>
            <w:vAlign w:val="center"/>
          </w:tcPr>
          <w:p>
            <w:pPr>
              <w:spacing w:after="20"/>
            </w:pPr>
            <w:r>
              <w:rPr>
                <w:sz w:val="18"/>
              </w:rPr>
              <w:t>Dialogue de décision</w:t>
            </w:r>
          </w:p>
        </w:tc>
        <w:tc>
          <w:tcPr>
            <w:tcW w:type="dxa" w:w="3360"/>
            <w:vAlign w:val="center"/>
          </w:tcPr>
          <w:p>
            <w:pPr>
              <w:spacing w:after="20"/>
            </w:pPr>
            <w:r>
              <w:rPr>
                <w:sz w:val="18"/>
              </w:rPr>
              <w:t>Dégrouper et appliquer, ou annuler.</w:t>
            </w:r>
          </w:p>
        </w:tc>
      </w:tr>
      <w:tr>
        <w:tc>
          <w:tcPr>
            <w:tcW w:type="dxa" w:w="3360"/>
            <w:vAlign w:val="center"/>
          </w:tcPr>
          <w:p>
            <w:pPr>
              <w:spacing w:after="20"/>
            </w:pPr>
            <w:r>
              <w:rPr>
                <w:sz w:val="18"/>
              </w:rPr>
              <w:t>Erreur d’écriture JSON</w:t>
            </w:r>
          </w:p>
        </w:tc>
        <w:tc>
          <w:tcPr>
            <w:tcW w:type="dxa" w:w="3360"/>
            <w:vAlign w:val="center"/>
          </w:tcPr>
          <w:p>
            <w:pPr>
              <w:spacing w:after="20"/>
            </w:pPr>
            <w:r>
              <w:rPr>
                <w:sz w:val="18"/>
              </w:rPr>
              <w:t>Aucune perte de la version précédente</w:t>
            </w:r>
          </w:p>
        </w:tc>
        <w:tc>
          <w:tcPr>
            <w:tcW w:type="dxa" w:w="3360"/>
            <w:vAlign w:val="center"/>
          </w:tcPr>
          <w:p>
            <w:pPr>
              <w:spacing w:after="20"/>
            </w:pPr>
            <w:r>
              <w:rPr>
                <w:sz w:val="18"/>
              </w:rPr>
              <w:t>Le catalogue n’a pas été enregistré ; le fichier précédent est conservé.</w:t>
            </w:r>
          </w:p>
        </w:tc>
      </w:tr>
      <w:tr>
        <w:tc>
          <w:tcPr>
            <w:tcW w:type="dxa" w:w="3360"/>
          </w:tcPr>
          <w:p>
            <w:r>
              <w:t>Suppression d’une balise ou carte référencée</w:t>
            </w:r>
          </w:p>
        </w:tc>
        <w:tc>
          <w:tcPr>
            <w:tcW w:type="dxa" w:w="3360"/>
          </w:tcPr>
          <w:p>
            <w:r>
              <w:t>Refus ; proposer l’archivage</w:t>
            </w:r>
          </w:p>
        </w:tc>
        <w:tc>
          <w:tcPr>
            <w:tcW w:type="dxa" w:w="3360"/>
          </w:tcPr>
          <w:p>
            <w:r>
              <w:t>Cet objet est utilisé par un scénario et ne peut pas être supprimé.</w:t>
            </w:r>
          </w:p>
        </w:tc>
      </w:tr>
    </w:tbl>
    <w:p>
      <w:pPr>
        <w:pStyle w:val="Heading1"/>
        <w:keepNext/>
        <w:keepLines/>
      </w:pPr>
      <w:r>
        <w:t>18. Exigences non fonctionnelles</w:t>
      </w:r>
    </w:p>
    <w:p>
      <w:pPr>
        <w:pStyle w:val="ListBullet"/>
      </w:pPr>
      <w:r>
        <w:t>Lisibilité : les intentions Catalogue et Hypothèse doivent être immédiatement distinguables.</w:t>
      </w:r>
    </w:p>
    <w:p>
      <w:pPr>
        <w:pStyle w:val="ListBullet"/>
      </w:pPr>
      <w:r>
        <w:t>Robustesse : aucune sauvegarde partielle du catalogue.</w:t>
      </w:r>
    </w:p>
    <w:p>
      <w:pPr>
        <w:pStyle w:val="ListBullet"/>
      </w:pPr>
      <w:r>
        <w:t>Portabilité : le catalogue et les scénarios doivent pouvoir être copiés avec le projet.</w:t>
      </w:r>
    </w:p>
    <w:p>
      <w:pPr>
        <w:pStyle w:val="ListBullet"/>
      </w:pPr>
      <w:r>
        <w:t>Traçabilité : les identifiants sont stables et indépendants des libellés.</w:t>
      </w:r>
    </w:p>
    <w:p>
      <w:pPr>
        <w:pStyle w:val="ListBullet"/>
      </w:pPr>
      <w:r>
        <w:t>Performance : le volume prévu permet un chargement complet en mémoire.</w:t>
      </w:r>
    </w:p>
    <w:p>
      <w:pPr>
        <w:pStyle w:val="ListBullet"/>
      </w:pPr>
      <w:r>
        <w:t>Mono-utilisateur : aucune gestion de concurrence multi-processus n’est exigée dans cette phase.</w:t>
      </w:r>
    </w:p>
    <w:p>
      <w:pPr>
        <w:pStyle w:val="ListBullet"/>
      </w:pPr>
      <w:r>
        <w:t>Testabilité : les règles métier doivent être isolées de l’interface et testables sans Tkinter.</w:t>
      </w:r>
    </w:p>
    <w:p>
      <w:pPr>
        <w:pStyle w:val="ListBullet"/>
      </w:pPr>
      <w:r>
        <w:t>Réversibilité : toute opération transactionnelle peut être annulée avant application.</w:t>
      </w:r>
    </w:p>
    <w:p>
      <w:pPr>
        <w:pStyle w:val="ListBullet"/>
      </w:pPr>
      <w:r>
        <w:t>Compatibilité : le format JSON est versionné.</w:t>
      </w:r>
    </w:p>
    <w:p>
      <w:pPr>
        <w:pStyle w:val="ListBullet"/>
      </w:pPr>
      <w:r>
        <w:t>Compatibilité : les scénarios XML doivent rester compatibles dans le temps et les changements de catalogue ne doivent pas empêcher leur ouverture.</w:t>
      </w:r>
    </w:p>
    <w:p>
      <w:pPr>
        <w:pStyle w:val="Heading1"/>
        <w:keepNext/>
        <w:keepLines/>
      </w:pPr>
      <w:r>
        <w:t>19. Critères d’acceptation</w:t>
      </w:r>
    </w:p>
    <w:p>
      <w:r>
        <w:t>CA-01 — Le bouton Catalogue ouvre une fenêtre avec les cinq onglets Villes, Triangles, Balises, Cartes et Templates.</w:t>
      </w:r>
    </w:p>
    <w:p>
      <w:r>
        <w:rPr>
          <w:b/>
        </w:rPr>
        <w:t xml:space="preserve">CA-02 — </w:t>
      </w:r>
      <w:r>
        <w:t>Le bouton Hypothèse ouvre l’hypothèse du scénario manuel actif.</w:t>
      </w:r>
    </w:p>
    <w:p>
      <w:r>
        <w:rPr>
          <w:b/>
        </w:rPr>
        <w:t xml:space="preserve">CA-03 — </w:t>
      </w:r>
      <w:r>
        <w:t>Un template incomplet ne peut pas être sauvegardé.</w:t>
      </w:r>
    </w:p>
    <w:p>
      <w:r>
        <w:rPr>
          <w:b/>
        </w:rPr>
        <w:t xml:space="preserve">CA-04 — </w:t>
      </w:r>
      <w:r>
        <w:t>Une base peut être utilisée dans zéro, un ou plusieurs couples.</w:t>
      </w:r>
    </w:p>
    <w:p>
      <w:r>
        <w:rPr>
          <w:b/>
        </w:rPr>
        <w:t xml:space="preserve">CA-05 — </w:t>
      </w:r>
      <w:r>
        <w:t>Un même triangle ne peut pas être utilisé deux fois dans une hypothèse.</w:t>
      </w:r>
    </w:p>
    <w:p>
      <w:r>
        <w:rPr>
          <w:b/>
        </w:rPr>
        <w:t xml:space="preserve">CA-06 — </w:t>
      </w:r>
      <w:r>
        <w:t>Un couple ne peut contenir que deux triangles distincts de même base.</w:t>
      </w:r>
    </w:p>
    <w:p>
      <w:r>
        <w:rPr>
          <w:b/>
        </w:rPr>
        <w:t xml:space="preserve">CA-07 — </w:t>
      </w:r>
      <w:r>
        <w:t>Un triangle peut être glissé vers un rang et deux triangles vers un couple.</w:t>
      </w:r>
    </w:p>
    <w:p>
      <w:r>
        <w:rPr>
          <w:b/>
        </w:rPr>
        <w:t xml:space="preserve">CA-08 — </w:t>
      </w:r>
      <w:r>
        <w:t>Le drag &amp; drop ne modifie que la copie de travail avant Appliquer.</w:t>
      </w:r>
    </w:p>
    <w:p>
      <w:r>
        <w:rPr>
          <w:b/>
        </w:rPr>
        <w:t xml:space="preserve">CA-09 — </w:t>
      </w:r>
      <w:r>
        <w:t>Un chevauchement entraîne le choix Dégrouper et appliquer ou Annuler.</w:t>
      </w:r>
    </w:p>
    <w:p>
      <w:r>
        <w:rPr>
          <w:b/>
        </w:rPr>
        <w:t xml:space="preserve">CA-10 — </w:t>
      </w:r>
      <w:r>
        <w:t>Annuler laisse intégralement le scénario inchangé.</w:t>
      </w:r>
    </w:p>
    <w:p>
      <w:r>
        <w:rPr>
          <w:b/>
        </w:rPr>
        <w:t xml:space="preserve">CA-11 — </w:t>
      </w:r>
      <w:r>
        <w:t>La génération automatique utilise l’hypothèse du scénario manuel courant.</w:t>
      </w:r>
    </w:p>
    <w:p>
      <w:r>
        <w:rPr>
          <w:b/>
        </w:rPr>
        <w:t xml:space="preserve">CA-12 — </w:t>
      </w:r>
      <w:r>
        <w:t>Les scénarios automatiques ne proposent pas d’édition de leur hypothèse.</w:t>
      </w:r>
    </w:p>
    <w:p>
      <w:r>
        <w:rPr>
          <w:b/>
        </w:rPr>
        <w:t xml:space="preserve">CA-13 — </w:t>
      </w:r>
      <w:r>
        <w:t>Sauvegarder un scénario automatique crée un scénario manuel indépendant avec une copie de l’hypothèse.</w:t>
      </w:r>
    </w:p>
    <w:p>
      <w:r>
        <w:rPr>
          <w:b/>
        </w:rPr>
        <w:t xml:space="preserve">CA-14 — </w:t>
      </w:r>
      <w:r>
        <w:t>Le catalogue est enregistré dans un JSON unique avec écriture atomique.</w:t>
      </w:r>
    </w:p>
    <w:p>
      <w:r>
        <w:t>CA-15 — Les codes de date sont contrôlés par l’Enum DateCode et les imports les normalisent vers une valeur autorisée.</w:t>
      </w:r>
    </w:p>
    <w:p>
      <w:r>
        <w:t>CA-16 — La date ne participe pas à la clé d’unicité d’un triangle ; cette clé est (openingCityId, baseCityId, lightCityId).</w:t>
      </w:r>
    </w:p>
    <w:p>
      <w:r>
        <w:t>CA-17 — Une ville, un triangle, une balise ou une carte référencés ne peuvent pas être supprimés et peuvent être archivés.</w:t>
      </w:r>
    </w:p>
    <w:p>
      <w:pPr/>
      <w:r>
        <w:t>CA-18 — Une ville déplacée met à jour la position de ses balises et des groupes de scénario qui y sont accrochés.</w:t>
      </w:r>
    </w:p>
    <w:p>
      <w:pPr/>
      <w:r>
        <w:t>CA-19 — Une carte regroupe le fond, la projection et la calibration ; un scénario ne stocke qu’une MapId et ses propriétés d’affichage propres.</w:t>
      </w:r>
    </w:p>
    <w:p>
      <w:pPr/>
      <w:r>
        <w:t>CA-20 — Les coordonnées géographiques restent la source de vérité et les coordonnées écran sont calculées par la projection de la carte.</w:t>
      </w:r>
    </w:p>
    <w:p>
      <w:pPr/>
      <w:r>
        <w:t>CA-21 — Les anciens scénarios XML peuvent être ouverts après une évolution du catalogue compatible.</w:t>
      </w:r>
    </w:p>
    <w:p>
      <w:pPr>
        <w:pStyle w:val="Heading1"/>
        <w:keepNext/>
        <w:keepLines/>
      </w:pPr>
      <w:r>
        <w:t>20. Hors périmètre et décisions ouvertes</w:t>
      </w:r>
    </w:p>
    <w:p>
      <w:pPr>
        <w:pStyle w:val="Heading2"/>
        <w:keepNext/>
        <w:keepLines/>
      </w:pPr>
      <w:r>
        <w:t>20.1 Décisions définitivement actées</w:t>
      </w:r>
    </w:p>
    <w:p>
      <w:pPr>
        <w:pStyle w:val="ListBullet"/>
      </w:pPr>
      <w:r>
        <w:t>Ouverture actuellement égale à Bourges, mais OpeningCityId conservée explicitement dans le modèle.</w:t>
      </w:r>
    </w:p>
    <w:p>
      <w:pPr>
        <w:pStyle w:val="ListBullet"/>
      </w:pPr>
      <w:r>
        <w:t>Codes de date contrôlés par l’Enum DateCode du code applicatif ; aucun CSV de codes n’est requis.</w:t>
      </w:r>
    </w:p>
    <w:p>
      <w:pPr>
        <w:pStyle w:val="ListBullet"/>
      </w:pPr>
      <w:r>
        <w:t>Unicité des triangles sur (OpeningCityId, BaseCityId, LightCityId), indépendante du code de date.</w:t>
      </w:r>
    </w:p>
    <w:p>
      <w:pPr>
        <w:pStyle w:val="ListBullet"/>
      </w:pPr>
      <w:r>
        <w:t>Templates obligatoirement complets.</w:t>
      </w:r>
    </w:p>
    <w:p>
      <w:pPr>
        <w:pStyle w:val="ListBullet"/>
      </w:pPr>
      <w:r>
        <w:t>Une base peut occuper plusieurs couples ou aucun.</w:t>
      </w:r>
    </w:p>
    <w:p>
      <w:pPr>
        <w:pStyle w:val="ListBullet"/>
      </w:pPr>
      <w:r>
        <w:t>Édition transactionnelle.</w:t>
      </w:r>
    </w:p>
    <w:p>
      <w:pPr>
        <w:pStyle w:val="ListBullet"/>
      </w:pPr>
      <w:r>
        <w:t>Scénarios automatiques non éditables et régénérés depuis le scénario manuel.</w:t>
      </w:r>
    </w:p>
    <w:p>
      <w:pPr>
        <w:pStyle w:val="ListBullet"/>
      </w:pPr>
      <w:r>
        <w:t>Pas de SQLite ; catalogue JSON unique incluant les villes, triangles, balises, cartes et templates.</w:t>
      </w:r>
    </w:p>
    <w:p>
      <w:pPr>
        <w:pStyle w:val="ListBullet"/>
      </w:pPr>
      <w:r>
        <w:t>Scénarios manuels persistés en XML avec références aux objets du catalogue et MapId.</w:t>
      </w:r>
    </w:p>
    <w:p>
      <w:pPr>
        <w:pStyle w:val="ListBullet"/>
      </w:pPr>
      <w:r>
        <w:t>Objets référencés archivables, non supprimables ; aucune suppression en cascade.</w:t>
      </w:r>
    </w:p>
    <w:p>
      <w:pPr>
        <w:pStyle w:val="Heading2"/>
        <w:keepNext/>
        <w:keepLines/>
      </w:pPr>
      <w:r>
        <w:t>20.2 Points à traiter lors de la conception détaillée</w:t>
      </w:r>
    </w:p>
    <w:p>
      <w:pPr>
        <w:pStyle w:val="ListBullet"/>
      </w:pPr>
      <w:r>
        <w:t>Forme exacte des objets JSON et stratégie de génération des identifiants.</w:t>
      </w:r>
    </w:p>
    <w:p>
      <w:pPr>
        <w:pStyle w:val="ListBullet"/>
      </w:pPr>
      <w:r>
        <w:t>Comportement précis de l’import lorsqu’une ville n’existe pas encore.</w:t>
      </w:r>
    </w:p>
    <w:p>
      <w:pPr>
        <w:pStyle w:val="ListBullet"/>
      </w:pPr>
      <w:r>
        <w:t>Mécanisme de recalcul et de rechargement après modification de coordonnées, de balise ou de carte.</w:t>
      </w:r>
    </w:p>
    <w:p>
      <w:pPr>
        <w:pStyle w:val="ListBullet"/>
      </w:pPr>
      <w:r>
        <w:t>Affichage exact de la TreeView et des libellés de triangle.</w:t>
      </w:r>
    </w:p>
    <w:p>
      <w:pPr>
        <w:pStyle w:val="ListBullet"/>
      </w:pPr>
      <w:r>
        <w:t>Mécanisme de déplacement des couples dans l’ordre global.</w:t>
      </w:r>
    </w:p>
    <w:p>
      <w:pPr>
        <w:pStyle w:val="ListBullet"/>
      </w:pPr>
      <w:r>
        <w:t>Définition technique du test de chevauchement et de la transaction Core/UI.</w:t>
      </w:r>
    </w:p>
    <w:p>
      <w:pPr>
        <w:pStyle w:val="ListBullet"/>
      </w:pPr>
      <w:r>
        <w:t>Politique de remplacement des résultats automatiques lors d’une nouvelle simulation.</w:t>
      </w:r>
    </w:p>
    <w:p>
      <w:pPr>
        <w:pStyle w:val="ListBullet"/>
      </w:pPr>
      <w:r>
        <w:t>Format XML détaillé de l’hypothèse, des références de balise et de MapId dans un scénario manuel.</w:t>
      </w:r>
    </w:p>
    <w:p>
      <w:pPr>
        <w:pStyle w:val="ListBullet"/>
      </w:pPr>
      <w:r>
        <w:t>Choix entre index en mémoire pur et cache reconstructible pour scanner les scénarios enregistrés et détecter les objets référencés.</w:t>
      </w:r>
    </w:p>
    <w:p>
      <w:pPr>
        <w:pStyle w:val="Heading1"/>
        <w:keepNext/>
        <w:keepLines/>
      </w:pPr>
      <w:r>
        <w:t>Annexe A — Synthèse des règles métier</w:t>
      </w:r>
    </w:p>
    <w:tbl>
      <w:tblPr>
        <w:tblStyle w:val="TableGrid"/>
        <w:tblW w:type="auto" w:w="0"/>
        <w:tblLook w:firstColumn="1" w:firstRow="1" w:lastColumn="0" w:lastRow="0" w:noHBand="0" w:noVBand="1" w:val="04A0"/>
      </w:tblPr>
      <w:tblGrid>
        <w:gridCol w:w="5040"/>
        <w:gridCol w:w="5040"/>
      </w:tblGrid>
      <w:tr>
        <w:tc>
          <w:tcPr>
            <w:tcW w:type="dxa" w:w="5040"/>
            <w:shd w:fill="1F4E79"/>
            <w:vAlign w:val="center"/>
          </w:tcPr>
          <w:p>
            <w:pPr>
              <w:spacing w:after="20"/>
            </w:pPr>
            <w:r>
              <w:rPr>
                <w:color w:val="FFFFFF"/>
                <w:sz w:val="18"/>
              </w:rPr>
              <w:t>Règle</w:t>
            </w:r>
          </w:p>
        </w:tc>
        <w:tc>
          <w:tcPr>
            <w:tcW w:type="dxa" w:w="5040"/>
            <w:shd w:fill="1F4E79"/>
            <w:vAlign w:val="center"/>
          </w:tcPr>
          <w:p>
            <w:pPr>
              <w:spacing w:after="20"/>
            </w:pPr>
            <w:r>
              <w:rPr>
                <w:color w:val="FFFFFF"/>
                <w:sz w:val="18"/>
              </w:rPr>
              <w:t>Décision</w:t>
            </w:r>
          </w:p>
        </w:tc>
      </w:tr>
      <w:tr>
        <w:tc>
          <w:tcPr>
            <w:tcW w:type="dxa" w:w="5040"/>
            <w:vAlign w:val="center"/>
          </w:tcPr>
          <w:p>
            <w:pPr>
              <w:spacing w:after="20"/>
            </w:pPr>
            <w:r>
              <w:rPr>
                <w:sz w:val="18"/>
              </w:rPr>
              <w:t>Ouverture</w:t>
            </w:r>
          </w:p>
        </w:tc>
        <w:tc>
          <w:tcPr>
            <w:tcW w:type="dxa" w:w="5040"/>
            <w:vAlign w:val="center"/>
          </w:tcPr>
          <w:p>
            <w:r>
              <w:t>Actuellement Bourges ; OpeningCityId stockée explicitement</w:t>
            </w:r>
          </w:p>
        </w:tc>
      </w:tr>
      <w:tr>
        <w:tc>
          <w:tcPr>
            <w:tcW w:type="dxa" w:w="5040"/>
            <w:vAlign w:val="center"/>
          </w:tcPr>
          <w:p>
            <w:pPr>
              <w:spacing w:after="20"/>
            </w:pPr>
            <w:r>
              <w:rPr>
                <w:sz w:val="18"/>
              </w:rPr>
              <w:t>Triangle unique</w:t>
            </w:r>
          </w:p>
        </w:tc>
        <w:tc>
          <w:tcPr>
            <w:tcW w:type="dxa" w:w="5040"/>
            <w:vAlign w:val="center"/>
          </w:tcPr>
          <w:p>
            <w:r>
              <w:t>Ouverture + Base + Lumière ; le code de date n’est pas inclus</w:t>
            </w:r>
          </w:p>
        </w:tc>
      </w:tr>
      <w:tr>
        <w:tc>
          <w:tcPr>
            <w:tcW w:type="dxa" w:w="5040"/>
            <w:vAlign w:val="center"/>
          </w:tcPr>
          <w:p>
            <w:pPr>
              <w:spacing w:after="20"/>
            </w:pPr>
            <w:r>
              <w:rPr>
                <w:sz w:val="18"/>
              </w:rPr>
              <w:t>Code date</w:t>
            </w:r>
          </w:p>
        </w:tc>
        <w:tc>
          <w:tcPr>
            <w:tcW w:type="dxa" w:w="5040"/>
            <w:vAlign w:val="center"/>
          </w:tcPr>
          <w:p>
            <w:r>
              <w:t>Enum applicatif DateCode (Do, Re, Mi, Fa, Sol, La, Si, Zone), non inclus dans l’unicité</w:t>
            </w:r>
          </w:p>
        </w:tc>
      </w:tr>
      <w:tr>
        <w:tc>
          <w:tcPr>
            <w:tcW w:type="dxa" w:w="5040"/>
            <w:vAlign w:val="center"/>
          </w:tcPr>
          <w:p>
            <w:pPr>
              <w:spacing w:after="20"/>
            </w:pPr>
            <w:r>
              <w:rPr>
                <w:sz w:val="18"/>
              </w:rPr>
              <w:t>Template</w:t>
            </w:r>
          </w:p>
        </w:tc>
        <w:tc>
          <w:tcPr>
            <w:tcW w:type="dxa" w:w="5040"/>
            <w:vAlign w:val="center"/>
          </w:tcPr>
          <w:p>
            <w:pPr>
              <w:spacing w:after="20"/>
            </w:pPr>
            <w:r>
              <w:rPr>
                <w:sz w:val="18"/>
              </w:rPr>
              <w:t>32 rangs obligatoires</w:t>
            </w:r>
          </w:p>
        </w:tc>
      </w:tr>
      <w:tr>
        <w:tc>
          <w:tcPr>
            <w:tcW w:type="dxa" w:w="5040"/>
            <w:vAlign w:val="center"/>
          </w:tcPr>
          <w:p>
            <w:pPr>
              <w:spacing w:after="20"/>
            </w:pPr>
            <w:r>
              <w:rPr>
                <w:sz w:val="18"/>
              </w:rPr>
              <w:t>Couple</w:t>
            </w:r>
          </w:p>
        </w:tc>
        <w:tc>
          <w:tcPr>
            <w:tcW w:type="dxa" w:w="5040"/>
            <w:vAlign w:val="center"/>
          </w:tcPr>
          <w:p>
            <w:pPr>
              <w:spacing w:after="20"/>
            </w:pPr>
            <w:r>
              <w:rPr>
                <w:sz w:val="18"/>
              </w:rPr>
              <w:t>Deux triangles distincts de même base</w:t>
            </w:r>
          </w:p>
        </w:tc>
      </w:tr>
      <w:tr>
        <w:tc>
          <w:tcPr>
            <w:tcW w:type="dxa" w:w="5040"/>
            <w:vAlign w:val="center"/>
          </w:tcPr>
          <w:p>
            <w:pPr>
              <w:spacing w:after="20"/>
            </w:pPr>
            <w:r>
              <w:rPr>
                <w:sz w:val="18"/>
              </w:rPr>
              <w:t>Réutilisation d’une base</w:t>
            </w:r>
          </w:p>
        </w:tc>
        <w:tc>
          <w:tcPr>
            <w:tcW w:type="dxa" w:w="5040"/>
            <w:vAlign w:val="center"/>
          </w:tcPr>
          <w:p>
            <w:pPr>
              <w:spacing w:after="20"/>
            </w:pPr>
            <w:r>
              <w:rPr>
                <w:sz w:val="18"/>
              </w:rPr>
              <w:t>0 à N couples</w:t>
            </w:r>
          </w:p>
        </w:tc>
      </w:tr>
      <w:tr>
        <w:tc>
          <w:tcPr>
            <w:tcW w:type="dxa" w:w="5040"/>
            <w:vAlign w:val="center"/>
          </w:tcPr>
          <w:p>
            <w:pPr>
              <w:spacing w:after="20"/>
            </w:pPr>
            <w:r>
              <w:rPr>
                <w:sz w:val="18"/>
              </w:rPr>
              <w:t>Réutilisation d’un triangle</w:t>
            </w:r>
          </w:p>
        </w:tc>
        <w:tc>
          <w:tcPr>
            <w:tcW w:type="dxa" w:w="5040"/>
            <w:vAlign w:val="center"/>
          </w:tcPr>
          <w:p>
            <w:pPr>
              <w:spacing w:after="20"/>
            </w:pPr>
            <w:r>
              <w:rPr>
                <w:sz w:val="18"/>
              </w:rPr>
              <w:t>Interdite dans une même hypothèse</w:t>
            </w:r>
          </w:p>
        </w:tc>
      </w:tr>
      <w:tr>
        <w:tc>
          <w:tcPr>
            <w:tcW w:type="dxa" w:w="5040"/>
            <w:vAlign w:val="center"/>
          </w:tcPr>
          <w:p>
            <w:pPr>
              <w:spacing w:after="20"/>
            </w:pPr>
            <w:r>
              <w:rPr>
                <w:sz w:val="18"/>
              </w:rPr>
              <w:t>Édition</w:t>
            </w:r>
          </w:p>
        </w:tc>
        <w:tc>
          <w:tcPr>
            <w:tcW w:type="dxa" w:w="5040"/>
            <w:vAlign w:val="center"/>
          </w:tcPr>
          <w:p>
            <w:pPr>
              <w:spacing w:after="20"/>
            </w:pPr>
            <w:r>
              <w:rPr>
                <w:sz w:val="18"/>
              </w:rPr>
              <w:t>Copie de travail puis Appliquer</w:t>
            </w:r>
          </w:p>
        </w:tc>
      </w:tr>
      <w:tr>
        <w:tc>
          <w:tcPr>
            <w:tcW w:type="dxa" w:w="5040"/>
            <w:vAlign w:val="center"/>
          </w:tcPr>
          <w:p>
            <w:pPr>
              <w:spacing w:after="20"/>
            </w:pPr>
            <w:r>
              <w:rPr>
                <w:sz w:val="18"/>
              </w:rPr>
              <w:t>Chevauchement</w:t>
            </w:r>
          </w:p>
        </w:tc>
        <w:tc>
          <w:tcPr>
            <w:tcW w:type="dxa" w:w="5040"/>
            <w:vAlign w:val="center"/>
          </w:tcPr>
          <w:p>
            <w:pPr>
              <w:spacing w:after="20"/>
            </w:pPr>
            <w:r>
              <w:rPr>
                <w:sz w:val="18"/>
              </w:rPr>
              <w:t>Dégrouper et appliquer ou Annuler</w:t>
            </w:r>
          </w:p>
        </w:tc>
      </w:tr>
      <w:tr>
        <w:tc>
          <w:tcPr>
            <w:tcW w:type="dxa" w:w="5040"/>
            <w:vAlign w:val="center"/>
          </w:tcPr>
          <w:p>
            <w:pPr>
              <w:spacing w:after="20"/>
            </w:pPr>
            <w:r>
              <w:rPr>
                <w:sz w:val="18"/>
              </w:rPr>
              <w:t>Auto</w:t>
            </w:r>
          </w:p>
        </w:tc>
        <w:tc>
          <w:tcPr>
            <w:tcW w:type="dxa" w:w="5040"/>
            <w:vAlign w:val="center"/>
          </w:tcPr>
          <w:p>
            <w:pPr>
              <w:spacing w:after="20"/>
            </w:pPr>
            <w:r>
              <w:rPr>
                <w:sz w:val="18"/>
              </w:rPr>
              <w:t>Résultats éphémères non éditables</w:t>
            </w:r>
          </w:p>
        </w:tc>
      </w:tr>
      <w:tr>
        <w:tc>
          <w:tcPr>
            <w:tcW w:type="dxa" w:w="5040"/>
            <w:vAlign w:val="center"/>
          </w:tcPr>
          <w:p>
            <w:pPr>
              <w:spacing w:after="20"/>
            </w:pPr>
            <w:r>
              <w:rPr>
                <w:sz w:val="18"/>
              </w:rPr>
              <w:t>Persistance catalogue</w:t>
            </w:r>
          </w:p>
        </w:tc>
        <w:tc>
          <w:tcPr>
            <w:tcW w:type="dxa" w:w="5040"/>
            <w:vAlign w:val="center"/>
          </w:tcPr>
          <w:p>
            <w:pPr>
              <w:spacing w:after="20"/>
            </w:pPr>
            <w:r>
              <w:rPr>
                <w:sz w:val="18"/>
              </w:rPr>
              <w:t>JSON unique atomique</w:t>
            </w:r>
          </w:p>
        </w:tc>
      </w:tr>
      <w:tr>
        <w:tc>
          <w:tcPr>
            <w:tcW w:type="dxa" w:w="5040"/>
            <w:vAlign w:val="center"/>
          </w:tcPr>
          <w:p>
            <w:pPr>
              <w:spacing w:after="20"/>
            </w:pPr>
            <w:r>
              <w:rPr>
                <w:sz w:val="18"/>
              </w:rPr>
              <w:t>Persistance scénario</w:t>
            </w:r>
          </w:p>
        </w:tc>
        <w:tc>
          <w:tcPr>
            <w:tcW w:type="dxa" w:w="5040"/>
            <w:vAlign w:val="center"/>
          </w:tcPr>
          <w:p>
            <w:r>
              <w:t>JSON unique atomique : villes, triangles, balises, cartes et templates</w:t>
            </w:r>
          </w:p>
        </w:tc>
      </w:tr>
      <w:tr>
        <w:tc>
          <w:tcPr>
            <w:tcW w:type="dxa" w:w="5040"/>
          </w:tcPr>
          <w:p>
            <w:r>
              <w:t>Archivage</w:t>
            </w:r>
          </w:p>
        </w:tc>
        <w:tc>
          <w:tcPr>
            <w:tcW w:type="dxa" w:w="5040"/>
          </w:tcPr>
          <w:p>
            <w:r>
              <w:t>Objet référencé non supprimable ; archivage autorisé, sans cascade</w:t>
            </w:r>
          </w:p>
        </w:tc>
      </w:tr>
      <w:tr>
        <w:tc>
          <w:tcPr>
            <w:tcW w:type="dxa" w:w="5040"/>
          </w:tcPr>
          <w:p>
            <w:r>
              <w:t>Balise</w:t>
            </w:r>
          </w:p>
        </w:tc>
        <w:tc>
          <w:tcPr>
            <w:tcW w:type="dxa" w:w="5040"/>
          </w:tcPr>
          <w:p>
            <w:r>
              <w:t>Définie par une ville ; elle et ses groupes accrochés suivent le déplacement de la ville</w:t>
            </w:r>
          </w:p>
        </w:tc>
      </w:tr>
      <w:tr>
        <w:tc>
          <w:tcPr>
            <w:tcW w:type="dxa" w:w="5040"/>
          </w:tcPr>
          <w:p>
            <w:r>
              <w:t>Carte</w:t>
            </w:r>
          </w:p>
        </w:tc>
        <w:tc>
          <w:tcPr>
            <w:tcW w:type="dxa" w:w="5040"/>
          </w:tcPr>
          <w:p>
            <w:r>
              <w:t>Fond, projection et calibration dans le catalogue ; le scénario référence MapId et conserve son affichage</w:t>
            </w:r>
          </w:p>
        </w:tc>
      </w:tr>
      <w:tr>
        <w:tc>
          <w:tcPr>
            <w:tcW w:type="dxa" w:w="5040"/>
          </w:tcPr>
          <w:p>
            <w:r>
              <w:t>Coordonnées</w:t>
            </w:r>
          </w:p>
        </w:tc>
        <w:tc>
          <w:tcPr>
            <w:tcW w:type="dxa" w:w="5040"/>
          </w:tcPr>
          <w:p>
            <w:r>
              <w:t>Géographiques comme source de vérité ; écran dérivé de la projection de la carte</w:t>
            </w:r>
          </w:p>
        </w:tc>
      </w:tr>
    </w:tbl>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AssembleurTriangles — Spécification fonctionnelle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ind w:left="360" w:right="216"/>
      <w:shd w:fill="F3F3F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Spécification fonctionnelle — Catalogue de triangles et hypothèses</dc:title>
  <dc:subject>Projet AssembleurTriangles</dc:subject>
  <dc:creator>OpenAI — document préparé à partir de l’expression de besoin consolidée</dc:creator>
  <cp:keywords>AssembleurTriangles, catalogue, triangles, hypothèses, UX, JSON, XML</cp:keywords>
  <dc:description>generated by python-docx</dc:description>
  <cp:lastModifiedBy/>
  <cp:revision>1</cp:revision>
  <dcterms:created xsi:type="dcterms:W3CDTF">2013-12-23T23:15:00Z</dcterms:created>
  <dcterms:modified xsi:type="dcterms:W3CDTF">2013-12-23T23:15:00Z</dcterms:modified>
  <cp:category/>
</cp:coreProperties>
</file>