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jc w:val="center"/>
      </w:pPr>
      <w:r>
        <w:rPr>
          <w:b/>
          <w:color w:val="1F4E79"/>
          <w:sz w:val="60"/>
        </w:rPr>
        <w:t>MIG-GEO-001</w:t>
      </w:r>
    </w:p>
    <w:p>
      <w:pPr>
        <w:jc w:val="center"/>
      </w:pPr>
      <w:r>
        <w:rPr>
          <w:color w:val="44546A"/>
          <w:sz w:val="36"/>
        </w:rPr>
        <w:t>Formalisation et stabilisation du contrat géométrique</w:t>
      </w:r>
    </w:p>
    <w:p>
      <w:pPr>
        <w:jc w:val="center"/>
      </w:pPr>
      <w:r>
        <w:rPr>
          <w:i/>
          <w:sz w:val="26"/>
        </w:rPr>
        <w:t>Géométrie locale · Pose · Coordonnées monde · Cache UI</w:t>
      </w:r>
    </w:p>
    <w:p/>
    <w:tbl>
      <w:tblPr>
        <w:tblStyle w:val="TableGrid"/>
        <w:tblW w:type="auto" w:w="0"/>
        <w:jc w:val="center"/>
        <w:tblLook w:firstColumn="1" w:firstRow="1" w:lastColumn="0" w:lastRow="0" w:noHBand="0" w:noVBand="1" w:val="04A0"/>
      </w:tblPr>
      <w:tblGrid>
        <w:gridCol w:w="4929"/>
        <w:gridCol w:w="4929"/>
      </w:tblGrid>
      <w:tr>
        <w:tc>
          <w:tcPr>
            <w:tcW w:type="dxa" w:w="4929"/>
            <w:vAlign w:val="center"/>
            <w:shd w:fill="1F4E79"/>
          </w:tcPr>
          <w:p>
            <w:pPr>
              <w:spacing w:after="0"/>
            </w:pPr>
            <w:r/>
            <w:r>
              <w:rPr>
                <w:b/>
                <w:color w:val="FFFFFF"/>
              </w:rPr>
              <w:t>Statut</w:t>
            </w:r>
          </w:p>
        </w:tc>
        <w:tc>
          <w:tcPr>
            <w:tcW w:type="dxa" w:w="4929"/>
            <w:vAlign w:val="center"/>
          </w:tcPr>
          <w:p>
            <w:pPr>
              <w:spacing w:after="0"/>
            </w:pPr>
            <w:r/>
            <w:r>
              <w:rPr>
                <w:b w:val="0"/>
              </w:rPr>
              <w:t>Document d’analyse préalable — à valider par audit du code</w:t>
            </w:r>
          </w:p>
        </w:tc>
      </w:tr>
      <w:tr>
        <w:tc>
          <w:tcPr>
            <w:tcW w:type="dxa" w:w="4929"/>
            <w:vAlign w:val="center"/>
            <w:shd w:fill="1F4E79"/>
          </w:tcPr>
          <w:p>
            <w:pPr>
              <w:spacing w:after="0"/>
            </w:pPr>
            <w:r/>
            <w:r>
              <w:rPr>
                <w:b/>
                <w:color w:val="FFFFFF"/>
              </w:rPr>
              <w:t>Objet</w:t>
            </w:r>
          </w:p>
        </w:tc>
        <w:tc>
          <w:tcPr>
            <w:tcW w:type="dxa" w:w="4929"/>
            <w:vAlign w:val="center"/>
          </w:tcPr>
          <w:p>
            <w:pPr>
              <w:spacing w:after="0"/>
            </w:pPr>
            <w:r/>
            <w:r>
              <w:rPr>
                <w:b w:val="0"/>
              </w:rPr>
              <w:t>Définir le véritable périmètre de MIG-GEO-001 avant toute migration</w:t>
            </w:r>
          </w:p>
        </w:tc>
      </w:tr>
      <w:tr>
        <w:tc>
          <w:tcPr>
            <w:tcW w:type="dxa" w:w="4929"/>
            <w:vAlign w:val="center"/>
            <w:shd w:fill="1F4E79"/>
          </w:tcPr>
          <w:p>
            <w:pPr>
              <w:spacing w:after="0"/>
            </w:pPr>
            <w:r/>
            <w:r>
              <w:rPr>
                <w:b/>
                <w:color w:val="FFFFFF"/>
              </w:rPr>
              <w:t>Références</w:t>
            </w:r>
          </w:p>
        </w:tc>
        <w:tc>
          <w:tcPr>
            <w:tcW w:type="dxa" w:w="4929"/>
            <w:vAlign w:val="center"/>
          </w:tcPr>
          <w:p>
            <w:pPr>
              <w:spacing w:after="0"/>
            </w:pPr>
            <w:r/>
            <w:r>
              <w:rPr>
                <w:b w:val="0"/>
              </w:rPr>
              <w:t>ARCHITECTURE_CIBLE_TOPOLOGIQUE.md ; STABILISATION_UI_CORE_PHASE1.md</w:t>
            </w:r>
          </w:p>
        </w:tc>
      </w:tr>
      <w:tr>
        <w:tc>
          <w:tcPr>
            <w:tcW w:type="dxa" w:w="4929"/>
            <w:vAlign w:val="center"/>
            <w:shd w:fill="1F4E79"/>
          </w:tcPr>
          <w:p>
            <w:pPr>
              <w:spacing w:after="0"/>
            </w:pPr>
            <w:r/>
            <w:r>
              <w:rPr>
                <w:b/>
                <w:color w:val="FFFFFF"/>
              </w:rPr>
              <w:t>Décision attendue</w:t>
            </w:r>
          </w:p>
        </w:tc>
        <w:tc>
          <w:tcPr>
            <w:tcW w:type="dxa" w:w="4929"/>
            <w:vAlign w:val="center"/>
          </w:tcPr>
          <w:p>
            <w:pPr>
              <w:spacing w:after="0"/>
            </w:pPr>
            <w:r/>
            <w:r>
              <w:rPr>
                <w:b w:val="0"/>
              </w:rPr>
              <w:t>Choix du premier invariant et du validateur minimal utile</w:t>
            </w:r>
          </w:p>
        </w:tc>
      </w:tr>
    </w:tbl>
    <w:p/>
    <w:p>
      <w:pPr>
        <w:pStyle w:val="Executive"/>
        <w:jc w:val="center"/>
      </w:pPr>
      <w:r>
        <w:t>Ce document ne constitue ni une spécification d’implémentation, ni un prompt Codex de correction. Il formalise les hypothèses, les contradictions et les décisions à instruire par le code.</w:t>
      </w:r>
    </w:p>
    <w:p>
      <w:r>
        <w:br w:type="page"/>
      </w:r>
    </w:p>
    <w:p>
      <w:pPr>
        <w:pStyle w:val="Heading1"/>
      </w:pPr>
      <w:r>
        <w:t>1. Résumé exécutif</w:t>
      </w:r>
    </w:p>
    <w:p>
      <w:r>
        <w:t>MIG-GEO-001 ne doit pas être défini prématurément comme une simple inversion du flux « TopologyWorld vers _last_drawn ». L’architecture actuelle semble hybride : les coordonnées monde de l’interface servent encore de vérité opérationnelle pour plusieurs interactions, tandis que le Core porte déjà une géométrie locale, une pose et des relations topologiques. Le XML conserve en outre plusieurs représentations d’un même état.</w:t>
      </w:r>
    </w:p>
    <w:p>
      <w:r>
        <w:t>Le premier chantier pertinent n’est donc pas encore de supprimer _last_drawn ni de proclamer le Core autoritaire. Il consiste à formaliser, mesurer et stabiliser le contrat entre quatre notions : géométrie locale, pose, coordonnées monde et cache de rendu UI.</w:t>
      </w:r>
    </w:p>
    <w:p>
      <w:r>
        <w:t>La recommandation est de définir MIG-GEO-001 comme une migration de connaissance et de cohérence : recenser les producteurs et consommateurs de géométrie, vérifier que la projection local + pose vers monde est déterministe, identifier les divergences avec _last_drawn et choisir ensuite le premier sens de migration.</w:t>
      </w:r>
    </w:p>
    <w:p>
      <w:pPr>
        <w:pStyle w:val="Heading1"/>
      </w:pPr>
      <w:r>
        <w:t>2. Contexte architectural</w:t>
      </w:r>
    </w:p>
    <w:p>
      <w:r>
        <w:t>Les documents d’architecture décrivent une cible dans laquelle la topologie devient la source de vérité et l’interface reconstruit son affichage de manière déterministe. Cette cible est cohérente, mais elle ne doit pas être confondue avec l’état actuel du programme.</w:t>
      </w:r>
    </w:p>
    <w:p>
      <w:r>
        <w:t>Aujourd’hui, l’application paraît maintenir simultanément plusieurs représentations : une définition intrinsèque du triangle, une géométrie locale dans le Core, une pose Core, des points monde dans l’UI, des groupes UI, des groupes topologiques et des snapshots XML. Le principal risque n’est pas l’existence de ces couches, mais l’absence d’un contrat explicite sur leur autorité, leur dérivation et leur moment de synchronisation.</w:t>
      </w:r>
    </w:p>
    <w:p>
      <w:pPr>
        <w:pStyle w:val="Heading1"/>
      </w:pPr>
      <w:r>
        <w:t>3. Question centrale de MIG-GEO-001</w:t>
      </w:r>
    </w:p>
    <w:p>
      <w:r>
        <w:t>La question n’est pas seulement : « où stocker les coordonnées ? ». Elle est :</w:t>
      </w:r>
    </w:p>
    <w:p>
      <w:pPr>
        <w:pStyle w:val="CodeBlock"/>
      </w:pPr>
      <w:r>
        <w:rPr>
          <w:rFonts w:ascii="Consolas" w:hAnsi="Consolas"/>
        </w:rPr>
        <w:t>Quelle représentation définit l’état géométrique métier,</w:t>
        <w:br/>
        <w:t>quelle représentation n’est qu’une projection,</w:t>
        <w:br/>
        <w:t>et à quel moment une interaction UI devient-elle un état Core validé ?</w:t>
      </w:r>
    </w:p>
    <w:p>
      <w:r>
        <w:t>Cette question doit être résolue opération par opération. Une réponse globale et théorique pourrait être juste à terme mais fausse pour le code actuel, et conduire à une migration trop large, fragile ou impossible à tester.</w:t>
      </w:r>
    </w:p>
    <w:p>
      <w:pPr>
        <w:pStyle w:val="Heading1"/>
      </w:pPr>
      <w:r>
        <w:t>4. Les couches géométriques à distinguer</w:t>
      </w:r>
    </w:p>
    <w:tbl>
      <w:tblPr>
        <w:tblStyle w:val="TableGrid"/>
        <w:tblW w:type="auto" w:w="0"/>
        <w:jc w:val="center"/>
        <w:tblLook w:firstColumn="1" w:firstRow="1" w:lastColumn="0" w:lastRow="0" w:noHBand="0" w:noVBand="1" w:val="04A0"/>
      </w:tblPr>
      <w:tblGrid>
        <w:gridCol w:w="4929"/>
        <w:gridCol w:w="4929"/>
      </w:tblGrid>
      <w:tr>
        <w:tc>
          <w:tcPr>
            <w:tcW w:type="dxa" w:w="4929"/>
            <w:vAlign w:val="center"/>
            <w:shd w:fill="1F4E79"/>
          </w:tcPr>
          <w:p>
            <w:pPr>
              <w:spacing w:after="0"/>
            </w:pPr>
            <w:r/>
            <w:r>
              <w:rPr>
                <w:b/>
                <w:color w:val="FFFFFF"/>
              </w:rPr>
              <w:t>Couche</w:t>
            </w:r>
          </w:p>
        </w:tc>
        <w:tc>
          <w:tcPr>
            <w:tcW w:type="dxa" w:w="4929"/>
            <w:vAlign w:val="center"/>
            <w:shd w:fill="1F4E79"/>
          </w:tcPr>
          <w:p>
            <w:pPr>
              <w:spacing w:after="0"/>
            </w:pPr>
            <w:r/>
            <w:r>
              <w:rPr>
                <w:b/>
                <w:color w:val="FFFFFF"/>
              </w:rPr>
              <w:t>Rôle et point de vigilance</w:t>
            </w:r>
          </w:p>
        </w:tc>
      </w:tr>
      <w:tr>
        <w:tc>
          <w:tcPr>
            <w:tcW w:type="dxa" w:w="4929"/>
            <w:vAlign w:val="center"/>
          </w:tcPr>
          <w:p>
            <w:pPr>
              <w:spacing w:after="0"/>
            </w:pPr>
            <w:r/>
            <w:r>
              <w:rPr>
                <w:b/>
              </w:rPr>
              <w:t>1. Géométrie locale de catalogue</w:t>
            </w:r>
          </w:p>
        </w:tc>
        <w:tc>
          <w:tcPr>
            <w:tcW w:type="dxa" w:w="4929"/>
            <w:vAlign w:val="center"/>
          </w:tcPr>
          <w:p>
            <w:pPr>
              <w:spacing w:after="0"/>
            </w:pPr>
            <w:r/>
            <w:r>
              <w:rPr>
                <w:b w:val="0"/>
              </w:rPr>
              <w:t>Définition intrinsèque du triangle dans son repère propre. Elle décrit sa forme, pas sa position dans le scénario.</w:t>
            </w:r>
          </w:p>
        </w:tc>
      </w:tr>
      <w:tr>
        <w:tc>
          <w:tcPr>
            <w:tcW w:type="dxa" w:w="4929"/>
            <w:vAlign w:val="center"/>
          </w:tcPr>
          <w:p>
            <w:pPr>
              <w:spacing w:after="0"/>
            </w:pPr>
            <w:r/>
            <w:r>
              <w:rPr>
                <w:b/>
              </w:rPr>
              <w:t>2. Géométrie locale Core</w:t>
            </w:r>
          </w:p>
        </w:tc>
        <w:tc>
          <w:tcPr>
            <w:tcW w:type="dxa" w:w="4929"/>
            <w:vAlign w:val="center"/>
          </w:tcPr>
          <w:p>
            <w:pPr>
              <w:spacing w:after="0"/>
            </w:pPr>
            <w:r/>
            <w:r>
              <w:rPr>
                <w:b w:val="0"/>
              </w:rPr>
              <w:t>Copie ou matérialisation de la forme portée par TopologyElement. Il faut vérifier si elle est immuable, clonée ou modifiée.</w:t>
            </w:r>
          </w:p>
        </w:tc>
      </w:tr>
      <w:tr>
        <w:tc>
          <w:tcPr>
            <w:tcW w:type="dxa" w:w="4929"/>
            <w:vAlign w:val="center"/>
          </w:tcPr>
          <w:p>
            <w:pPr>
              <w:spacing w:after="0"/>
            </w:pPr>
            <w:r/>
            <w:r>
              <w:rPr>
                <w:b/>
              </w:rPr>
              <w:t>3. Pose Core</w:t>
            </w:r>
          </w:p>
        </w:tc>
        <w:tc>
          <w:tcPr>
            <w:tcW w:type="dxa" w:w="4929"/>
            <w:vAlign w:val="center"/>
          </w:tcPr>
          <w:p>
            <w:pPr>
              <w:spacing w:after="0"/>
            </w:pPr>
            <w:r/>
            <w:r>
              <w:rPr>
                <w:b w:val="0"/>
              </w:rPr>
              <w:t>Transformation qui place l’élément local dans le monde : translation, rotation et éventuellement miroir.</w:t>
            </w:r>
          </w:p>
        </w:tc>
      </w:tr>
      <w:tr>
        <w:tc>
          <w:tcPr>
            <w:tcW w:type="dxa" w:w="4929"/>
            <w:vAlign w:val="center"/>
          </w:tcPr>
          <w:p>
            <w:pPr>
              <w:spacing w:after="0"/>
            </w:pPr>
            <w:r/>
            <w:r>
              <w:rPr>
                <w:b/>
              </w:rPr>
              <w:t>4. Géométrie monde UI</w:t>
            </w:r>
          </w:p>
        </w:tc>
        <w:tc>
          <w:tcPr>
            <w:tcW w:type="dxa" w:w="4929"/>
            <w:vAlign w:val="center"/>
          </w:tcPr>
          <w:p>
            <w:pPr>
              <w:spacing w:after="0"/>
            </w:pPr>
            <w:r/>
            <w:r>
              <w:rPr>
                <w:b w:val="0"/>
              </w:rPr>
              <w:t>Points O/B/L enregistrés dans _last_drawn ou Scenario.last_drawn et utilisés par les interactions et le rendu.</w:t>
            </w:r>
          </w:p>
        </w:tc>
      </w:tr>
      <w:tr>
        <w:tc>
          <w:tcPr>
            <w:tcW w:type="dxa" w:w="4929"/>
            <w:vAlign w:val="center"/>
          </w:tcPr>
          <w:p>
            <w:pPr>
              <w:spacing w:after="0"/>
            </w:pPr>
            <w:r/>
            <w:r>
              <w:rPr>
                <w:b/>
              </w:rPr>
              <w:t>5. Géométrie écran</w:t>
            </w:r>
          </w:p>
        </w:tc>
        <w:tc>
          <w:tcPr>
            <w:tcW w:type="dxa" w:w="4929"/>
            <w:vAlign w:val="center"/>
          </w:tcPr>
          <w:p>
            <w:pPr>
              <w:spacing w:after="0"/>
            </w:pPr>
            <w:r/>
            <w:r>
              <w:rPr>
                <w:b w:val="0"/>
              </w:rPr>
              <w:t>Projection des coordonnées monde vers le canvas : zoom, pan, facteur d’échelle, repère graphique.</w:t>
            </w:r>
          </w:p>
        </w:tc>
      </w:tr>
    </w:tbl>
    <w:p>
      <w:r>
        <w:t>La géométrie écran doit rester hors du domaine métier. La difficulté principale se situe entre les couches 2, 3 et 4 : le Core peut-il reconstruire exactement les points monde, et l’UI traite-t-elle ces points comme un cache ou comme une source ?</w:t>
      </w:r>
    </w:p>
    <w:p>
      <w:pPr>
        <w:pStyle w:val="Heading1"/>
      </w:pPr>
      <w:r>
        <w:t>5. État d’autorité présumé</w:t>
      </w:r>
    </w:p>
    <w:p>
      <w:r>
        <w:t>L’analyse documentaire conduit à l’hypothèse suivante, qui doit impérativement être vérifiée dans le code :</w:t>
      </w:r>
    </w:p>
    <w:tbl>
      <w:tblPr>
        <w:tblStyle w:val="TableGrid"/>
        <w:tblW w:type="auto" w:w="0"/>
        <w:tblLook w:firstColumn="1" w:firstRow="1" w:lastColumn="0" w:lastRow="0" w:noHBand="0" w:noVBand="1" w:val="04A0"/>
      </w:tblPr>
      <w:tblGrid>
        <w:gridCol w:w="3286"/>
        <w:gridCol w:w="3286"/>
        <w:gridCol w:w="3286"/>
      </w:tblGrid>
      <w:tr>
        <w:tc>
          <w:tcPr>
            <w:tcW w:type="dxa" w:w="3286"/>
            <w:vAlign w:val="center"/>
            <w:shd w:fill="2F5597"/>
          </w:tcPr>
          <w:p>
            <w:pPr>
              <w:spacing w:after="0"/>
            </w:pPr>
            <w:r/>
            <w:r>
              <w:rPr>
                <w:b/>
                <w:color w:val="FFFFFF"/>
              </w:rPr>
              <w:t>Opération</w:t>
            </w:r>
          </w:p>
        </w:tc>
        <w:tc>
          <w:tcPr>
            <w:tcW w:type="dxa" w:w="3286"/>
            <w:vAlign w:val="center"/>
            <w:shd w:fill="2F5597"/>
          </w:tcPr>
          <w:p>
            <w:pPr>
              <w:spacing w:after="0"/>
            </w:pPr>
            <w:r/>
            <w:r>
              <w:rPr>
                <w:b/>
                <w:color w:val="FFFFFF"/>
              </w:rPr>
              <w:t>Autorité présumée aujourd’hui</w:t>
            </w:r>
          </w:p>
        </w:tc>
        <w:tc>
          <w:tcPr>
            <w:tcW w:type="dxa" w:w="3286"/>
            <w:vAlign w:val="center"/>
            <w:shd w:fill="2F5597"/>
          </w:tcPr>
          <w:p>
            <w:pPr>
              <w:spacing w:after="0"/>
            </w:pPr>
            <w:r/>
            <w:r>
              <w:rPr>
                <w:b/>
                <w:color w:val="FFFFFF"/>
              </w:rPr>
              <w:t>Lecture architecturale</w:t>
            </w:r>
          </w:p>
        </w:tc>
      </w:tr>
      <w:tr>
        <w:tc>
          <w:tcPr>
            <w:tcW w:type="dxa" w:w="3286"/>
            <w:vAlign w:val="center"/>
          </w:tcPr>
          <w:p>
            <w:pPr>
              <w:spacing w:after="0"/>
            </w:pPr>
            <w:r/>
            <w:r>
              <w:rPr>
                <w:b/>
              </w:rPr>
              <w:t>Déplacement manuel</w:t>
            </w:r>
          </w:p>
        </w:tc>
        <w:tc>
          <w:tcPr>
            <w:tcW w:type="dxa" w:w="3286"/>
            <w:vAlign w:val="center"/>
          </w:tcPr>
          <w:p>
            <w:pPr>
              <w:spacing w:after="0"/>
            </w:pPr>
            <w:r/>
            <w:r>
              <w:rPr>
                <w:b w:val="0"/>
              </w:rPr>
              <w:t>UI / points monde</w:t>
            </w:r>
          </w:p>
        </w:tc>
        <w:tc>
          <w:tcPr>
            <w:tcW w:type="dxa" w:w="3286"/>
            <w:vAlign w:val="center"/>
          </w:tcPr>
          <w:p>
            <w:pPr>
              <w:spacing w:after="0"/>
            </w:pPr>
            <w:r/>
            <w:r>
              <w:rPr>
                <w:b w:val="0"/>
              </w:rPr>
              <w:t>La géométrie UI est modifiée puis la pose Core est recalculée.</w:t>
            </w:r>
          </w:p>
        </w:tc>
      </w:tr>
      <w:tr>
        <w:tc>
          <w:tcPr>
            <w:tcW w:type="dxa" w:w="3286"/>
            <w:vAlign w:val="center"/>
          </w:tcPr>
          <w:p>
            <w:pPr>
              <w:spacing w:after="0"/>
            </w:pPr>
            <w:r/>
            <w:r>
              <w:rPr>
                <w:b/>
              </w:rPr>
              <w:t>Rotation manuelle</w:t>
            </w:r>
          </w:p>
        </w:tc>
        <w:tc>
          <w:tcPr>
            <w:tcW w:type="dxa" w:w="3286"/>
            <w:vAlign w:val="center"/>
          </w:tcPr>
          <w:p>
            <w:pPr>
              <w:spacing w:after="0"/>
            </w:pPr>
            <w:r/>
            <w:r>
              <w:rPr>
                <w:b w:val="0"/>
              </w:rPr>
              <w:t>UI / points monde</w:t>
            </w:r>
          </w:p>
        </w:tc>
        <w:tc>
          <w:tcPr>
            <w:tcW w:type="dxa" w:w="3286"/>
            <w:vAlign w:val="center"/>
          </w:tcPr>
          <w:p>
            <w:pPr>
              <w:spacing w:after="0"/>
            </w:pPr>
            <w:r/>
            <w:r>
              <w:rPr>
                <w:b w:val="0"/>
              </w:rPr>
              <w:t>Même schéma probable : transformation des points puis synchronisation vers le Core.</w:t>
            </w:r>
          </w:p>
        </w:tc>
      </w:tr>
      <w:tr>
        <w:tc>
          <w:tcPr>
            <w:tcW w:type="dxa" w:w="3286"/>
            <w:vAlign w:val="center"/>
          </w:tcPr>
          <w:p>
            <w:pPr>
              <w:spacing w:after="0"/>
            </w:pPr>
            <w:r/>
            <w:r>
              <w:rPr>
                <w:b/>
              </w:rPr>
              <w:t>Miroir</w:t>
            </w:r>
          </w:p>
        </w:tc>
        <w:tc>
          <w:tcPr>
            <w:tcW w:type="dxa" w:w="3286"/>
            <w:vAlign w:val="center"/>
          </w:tcPr>
          <w:p>
            <w:pPr>
              <w:spacing w:after="0"/>
            </w:pPr>
            <w:r/>
            <w:r>
              <w:rPr>
                <w:b w:val="0"/>
              </w:rPr>
              <w:t>UI ou convention mixte</w:t>
            </w:r>
          </w:p>
        </w:tc>
        <w:tc>
          <w:tcPr>
            <w:tcW w:type="dxa" w:w="3286"/>
            <w:vAlign w:val="center"/>
          </w:tcPr>
          <w:p>
            <w:pPr>
              <w:spacing w:after="0"/>
            </w:pPr>
            <w:r/>
            <w:r>
              <w:rPr>
                <w:b w:val="0"/>
              </w:rPr>
              <w:t>Point critique : le miroir peut être porté par les points, la pose, l’ordre des sommets ou plusieurs indicateurs.</w:t>
            </w:r>
          </w:p>
        </w:tc>
      </w:tr>
      <w:tr>
        <w:tc>
          <w:tcPr>
            <w:tcW w:type="dxa" w:w="3286"/>
            <w:vAlign w:val="center"/>
          </w:tcPr>
          <w:p>
            <w:pPr>
              <w:spacing w:after="0"/>
            </w:pPr>
            <w:r/>
            <w:r>
              <w:rPr>
                <w:b/>
              </w:rPr>
              <w:t>Dissociation / ungroup</w:t>
            </w:r>
          </w:p>
        </w:tc>
        <w:tc>
          <w:tcPr>
            <w:tcW w:type="dxa" w:w="3286"/>
            <w:vAlign w:val="center"/>
          </w:tcPr>
          <w:p>
            <w:pPr>
              <w:spacing w:after="0"/>
            </w:pPr>
            <w:r/>
            <w:r>
              <w:rPr>
                <w:b w:val="0"/>
              </w:rPr>
              <w:t>Core puis reconstruction UI</w:t>
            </w:r>
          </w:p>
        </w:tc>
        <w:tc>
          <w:tcPr>
            <w:tcW w:type="dxa" w:w="3286"/>
            <w:vAlign w:val="center"/>
          </w:tcPr>
          <w:p>
            <w:pPr>
              <w:spacing w:after="0"/>
            </w:pPr>
            <w:r/>
            <w:r>
              <w:rPr>
                <w:b w:val="0"/>
              </w:rPr>
              <w:t>Le Core semble intervenir en premier avant réaffichage et resynchronisation.</w:t>
            </w:r>
          </w:p>
        </w:tc>
      </w:tr>
      <w:tr>
        <w:tc>
          <w:tcPr>
            <w:tcW w:type="dxa" w:w="3286"/>
            <w:vAlign w:val="center"/>
          </w:tcPr>
          <w:p>
            <w:pPr>
              <w:spacing w:after="0"/>
            </w:pPr>
            <w:r/>
            <w:r>
              <w:rPr>
                <w:b/>
              </w:rPr>
              <w:t>Chargement XML</w:t>
            </w:r>
          </w:p>
        </w:tc>
        <w:tc>
          <w:tcPr>
            <w:tcW w:type="dxa" w:w="3286"/>
            <w:vAlign w:val="center"/>
          </w:tcPr>
          <w:p>
            <w:pPr>
              <w:spacing w:after="0"/>
            </w:pPr>
            <w:r/>
            <w:r>
              <w:rPr>
                <w:b w:val="0"/>
              </w:rPr>
              <w:t>Double source</w:t>
            </w:r>
          </w:p>
        </w:tc>
        <w:tc>
          <w:tcPr>
            <w:tcW w:type="dxa" w:w="3286"/>
            <w:vAlign w:val="center"/>
          </w:tcPr>
          <w:p>
            <w:pPr>
              <w:spacing w:after="0"/>
            </w:pPr>
            <w:r/>
            <w:r>
              <w:rPr>
                <w:b w:val="0"/>
              </w:rPr>
              <w:t>Le fichier peut restaurer à la fois le Core et la géométrie UI.</w:t>
            </w:r>
          </w:p>
        </w:tc>
      </w:tr>
      <w:tr>
        <w:tc>
          <w:tcPr>
            <w:tcW w:type="dxa" w:w="3286"/>
            <w:vAlign w:val="center"/>
          </w:tcPr>
          <w:p>
            <w:pPr>
              <w:spacing w:after="0"/>
            </w:pPr>
            <w:r/>
            <w:r>
              <w:rPr>
                <w:b/>
              </w:rPr>
              <w:t>Rendu</w:t>
            </w:r>
          </w:p>
        </w:tc>
        <w:tc>
          <w:tcPr>
            <w:tcW w:type="dxa" w:w="3286"/>
            <w:vAlign w:val="center"/>
          </w:tcPr>
          <w:p>
            <w:pPr>
              <w:spacing w:after="0"/>
            </w:pPr>
            <w:r/>
            <w:r>
              <w:rPr>
                <w:b w:val="0"/>
              </w:rPr>
              <w:t>_last_drawn</w:t>
            </w:r>
          </w:p>
        </w:tc>
        <w:tc>
          <w:tcPr>
            <w:tcW w:type="dxa" w:w="3286"/>
            <w:vAlign w:val="center"/>
          </w:tcPr>
          <w:p>
            <w:pPr>
              <w:spacing w:after="0"/>
            </w:pPr>
            <w:r/>
            <w:r>
              <w:rPr>
                <w:b w:val="0"/>
              </w:rPr>
              <w:t>L’UI consomme directement les points monde comme représentation prête à dessiner.</w:t>
            </w:r>
          </w:p>
        </w:tc>
      </w:tr>
    </w:tbl>
    <w:p>
      <w:r>
        <w:t>Cette situation signifie que l’application ne possède probablement pas encore une autorité géométrique unique. Elle possède des autorités locales selon les opérations, reliées par des synchronisations.</w:t>
      </w:r>
    </w:p>
    <w:p>
      <w:pPr>
        <w:pStyle w:val="Heading1"/>
      </w:pPr>
      <w:r>
        <w:t>6. Analyse par opération sensible</w:t>
      </w:r>
    </w:p>
    <w:p>
      <w:pPr>
        <w:pStyle w:val="Heading2"/>
      </w:pPr>
      <w:r>
        <w:t>6.1 Placement initial</w:t>
      </w:r>
    </w:p>
    <w:p>
      <w:r>
        <w:t>Le placement doit révéler la source originelle des coordonnées monde. Il faut déterminer si le triangle est créé dans le Core puis projeté, ou si l’UI construit immédiatement des points monde avant de calculer la pose. Cette opération constitue souvent le meilleur point d’entrée pour comprendre la convention du repère local et l’origine de la pose.</w:t>
      </w:r>
    </w:p>
    <w:p>
      <w:pPr>
        <w:pStyle w:val="Heading2"/>
      </w:pPr>
      <w:r>
        <w:t>6.2 Déplacement</w:t>
      </w:r>
    </w:p>
    <w:p>
      <w:r>
        <w:t>Le déplacement paraît être une opération UI-first : les points monde sont déplacés, puis une fonction de synchronisation recalcule la pose Core. Il faut vérifier si cette synchronisation utilise les trois sommets, un point d’ancrage, un angle déduit ou une matrice complète. Il faut aussi identifier si le groupe entier est traité comme un bloc ou élément par élément.</w:t>
      </w:r>
    </w:p>
    <w:p>
      <w:pPr>
        <w:pStyle w:val="Heading2"/>
      </w:pPr>
      <w:r>
        <w:t>6.3 Rotation</w:t>
      </w:r>
    </w:p>
    <w:p>
      <w:r>
        <w:t>La rotation doit être inspectée pour connaître le centre réel utilisé : centre du triangle, sommet, barycentre du groupe, pivot de sélection ou ancre topologique. Deux transformations mathématiquement valides peuvent produire des poses différentes si le pivot n’est pas identique.</w:t>
      </w:r>
    </w:p>
    <w:p>
      <w:pPr>
        <w:pStyle w:val="Heading2"/>
      </w:pPr>
      <w:r>
        <w:t>6.4 Miroir</w:t>
      </w:r>
    </w:p>
    <w:p>
      <w:r>
        <w:t>Le miroir est le point le plus risqué. Une réflexion ne se réduit pas toujours à un angle. Elle peut inverser l’orientation du repère, l’ordre O/B/L ou la parité de la transformation. Avant toute migration, la convention doit être formalisée et testée.</w:t>
      </w:r>
    </w:p>
    <w:p>
      <w:pPr>
        <w:pStyle w:val="Heading2"/>
      </w:pPr>
      <w:r>
        <w:t>6.5 Collage / attachement</w:t>
      </w:r>
    </w:p>
    <w:p>
      <w:r>
        <w:t>Le collage combine géométrie, topologie, groupe, contraintes et corrections éventuelles. Il traverse trop de frontières d’autorité pour être le premier chantier de migration. Il doit être observé, mais pas choisi comme première opération migrée.</w:t>
      </w:r>
    </w:p>
    <w:p>
      <w:pPr>
        <w:pStyle w:val="Heading2"/>
      </w:pPr>
      <w:r>
        <w:t>6.6 Dissociation / ungroup</w:t>
      </w:r>
    </w:p>
    <w:p>
      <w:r>
        <w:t>Cette opération semble plus Core-first que les transformations manuelles. Elle est précieuse pour détecter les chemins Core vers UI déjà existants et comprendre comment la géométrie est reconstruite après modification topologique.</w:t>
      </w:r>
    </w:p>
    <w:p>
      <w:pPr>
        <w:pStyle w:val="Heading2"/>
      </w:pPr>
      <w:r>
        <w:t>6.7 Suppression</w:t>
      </w:r>
    </w:p>
    <w:p>
      <w:r>
        <w:t>La suppression doit garantir l’absence de restes géométriques, topologiques ou de cache. Elle permet de vérifier si _last_drawn est indexé par l’identité Core ou par une identité UI indépendante.</w:t>
      </w:r>
    </w:p>
    <w:p>
      <w:pPr>
        <w:pStyle w:val="Heading2"/>
      </w:pPr>
      <w:r>
        <w:t>6.8 Chargement XML</w:t>
      </w:r>
    </w:p>
    <w:p>
      <w:r>
        <w:t>Le chargement est critique : si le Core et les points UI sont tous deux persistés, lequel l’emporte en cas de divergence ? Le programme valide-t-il leur cohérence, reconstruit-il l’un depuis l’autre, ou accepte-t-il silencieusement deux états incompatibles ?</w:t>
      </w:r>
    </w:p>
    <w:p>
      <w:pPr>
        <w:pStyle w:val="Heading2"/>
      </w:pPr>
      <w:r>
        <w:t>6.9 Duplication de scénario</w:t>
      </w:r>
    </w:p>
    <w:p>
      <w:r>
        <w:t>La duplication doit être analysée sous l’angle de l’isolation. Une copie superficielle de _last_drawn, des poses ou des structures de groupe peut créer des mutations croisées entre scénarios.</w:t>
      </w:r>
    </w:p>
    <w:p>
      <w:pPr>
        <w:pStyle w:val="Heading2"/>
      </w:pPr>
      <w:r>
        <w:t>6.10 Changement de scénario</w:t>
      </w:r>
    </w:p>
    <w:p>
      <w:r>
        <w:t>Le changement de scénario doit clarifier le rôle de Scenario.last_drawn : état persistant UI, cache par scénario ou photographie du dernier rendu. Il faut vérifier qu’une reconstruction ne dépend pas de l’ordre des activations.</w:t>
      </w:r>
    </w:p>
    <w:p>
      <w:pPr>
        <w:pStyle w:val="Heading1"/>
      </w:pPr>
      <w:r>
        <w:t>7. Architectures candidates</w:t>
      </w:r>
    </w:p>
    <w:tbl>
      <w:tblPr>
        <w:tblStyle w:val="TableGrid"/>
        <w:tblW w:type="auto" w:w="0"/>
        <w:tblLook w:firstColumn="1" w:firstRow="1" w:lastColumn="0" w:lastRow="0" w:noHBand="0" w:noVBand="1" w:val="04A0"/>
      </w:tblPr>
      <w:tblGrid>
        <w:gridCol w:w="3286"/>
        <w:gridCol w:w="3286"/>
        <w:gridCol w:w="3286"/>
      </w:tblGrid>
      <w:tr>
        <w:tc>
          <w:tcPr>
            <w:tcW w:type="dxa" w:w="3286"/>
            <w:vAlign w:val="center"/>
            <w:shd w:fill="44546A"/>
          </w:tcPr>
          <w:p>
            <w:pPr>
              <w:spacing w:after="0"/>
            </w:pPr>
            <w:r/>
            <w:r>
              <w:rPr>
                <w:b/>
                <w:color w:val="FFFFFF"/>
              </w:rPr>
              <w:t>Option</w:t>
            </w:r>
          </w:p>
        </w:tc>
        <w:tc>
          <w:tcPr>
            <w:tcW w:type="dxa" w:w="3286"/>
            <w:vAlign w:val="center"/>
            <w:shd w:fill="44546A"/>
          </w:tcPr>
          <w:p>
            <w:pPr>
              <w:spacing w:after="0"/>
            </w:pPr>
            <w:r/>
            <w:r>
              <w:rPr>
                <w:b/>
                <w:color w:val="FFFFFF"/>
              </w:rPr>
              <w:t>Principe</w:t>
            </w:r>
          </w:p>
        </w:tc>
        <w:tc>
          <w:tcPr>
            <w:tcW w:type="dxa" w:w="3286"/>
            <w:vAlign w:val="center"/>
            <w:shd w:fill="44546A"/>
          </w:tcPr>
          <w:p>
            <w:pPr>
              <w:spacing w:after="0"/>
            </w:pPr>
            <w:r/>
            <w:r>
              <w:rPr>
                <w:b/>
                <w:color w:val="FFFFFF"/>
              </w:rPr>
              <w:t>Évaluation pour MIG-GEO-001</w:t>
            </w:r>
          </w:p>
        </w:tc>
      </w:tr>
      <w:tr>
        <w:tc>
          <w:tcPr>
            <w:tcW w:type="dxa" w:w="3286"/>
            <w:vAlign w:val="center"/>
          </w:tcPr>
          <w:p>
            <w:pPr>
              <w:spacing w:after="0"/>
            </w:pPr>
            <w:r/>
            <w:r>
              <w:rPr>
                <w:b/>
              </w:rPr>
              <w:t>A — TopologyWorld → _last_drawn</w:t>
            </w:r>
          </w:p>
        </w:tc>
        <w:tc>
          <w:tcPr>
            <w:tcW w:type="dxa" w:w="3286"/>
            <w:vAlign w:val="center"/>
          </w:tcPr>
          <w:p>
            <w:pPr>
              <w:spacing w:after="0"/>
            </w:pPr>
            <w:r/>
            <w:r>
              <w:rPr>
                <w:b w:val="0"/>
              </w:rPr>
              <w:t>Le Core devient immédiatement autoritaire et l’UI est reconstruite.</w:t>
            </w:r>
          </w:p>
        </w:tc>
        <w:tc>
          <w:tcPr>
            <w:tcW w:type="dxa" w:w="3286"/>
            <w:vAlign w:val="center"/>
          </w:tcPr>
          <w:p>
            <w:pPr>
              <w:spacing w:after="0"/>
            </w:pPr>
            <w:r/>
            <w:r>
              <w:rPr>
                <w:b w:val="0"/>
              </w:rPr>
              <w:t>Cible séduisante, mais prématurée si la pose ne permet pas de reproduire exactement le comportement actuel.</w:t>
            </w:r>
          </w:p>
        </w:tc>
      </w:tr>
      <w:tr>
        <w:tc>
          <w:tcPr>
            <w:tcW w:type="dxa" w:w="3286"/>
            <w:vAlign w:val="center"/>
          </w:tcPr>
          <w:p>
            <w:pPr>
              <w:spacing w:after="0"/>
            </w:pPr>
            <w:r/>
            <w:r>
              <w:rPr>
                <w:b/>
              </w:rPr>
              <w:t>B — _last_drawn → TopologyWorld</w:t>
            </w:r>
          </w:p>
        </w:tc>
        <w:tc>
          <w:tcPr>
            <w:tcW w:type="dxa" w:w="3286"/>
            <w:vAlign w:val="center"/>
          </w:tcPr>
          <w:p>
            <w:pPr>
              <w:spacing w:after="0"/>
            </w:pPr>
            <w:r/>
            <w:r>
              <w:rPr>
                <w:b w:val="0"/>
              </w:rPr>
              <w:t>L’UI reste autoritaire et le Core est une projection synchronisée.</w:t>
            </w:r>
          </w:p>
        </w:tc>
        <w:tc>
          <w:tcPr>
            <w:tcW w:type="dxa" w:w="3286"/>
            <w:vAlign w:val="center"/>
          </w:tcPr>
          <w:p>
            <w:pPr>
              <w:spacing w:after="0"/>
            </w:pPr>
            <w:r/>
            <w:r>
              <w:rPr>
                <w:b w:val="0"/>
              </w:rPr>
              <w:t>Compatible avec plusieurs opérations actuelles, mais consolide une dette architecturale et rend la topologie dépendante du canvas.</w:t>
            </w:r>
          </w:p>
        </w:tc>
      </w:tr>
      <w:tr>
        <w:tc>
          <w:tcPr>
            <w:tcW w:type="dxa" w:w="3286"/>
            <w:vAlign w:val="center"/>
          </w:tcPr>
          <w:p>
            <w:pPr>
              <w:spacing w:after="0"/>
            </w:pPr>
            <w:r/>
            <w:r>
              <w:rPr>
                <w:b/>
              </w:rPr>
              <w:t>C — Projection géométrique intermédiaire</w:t>
            </w:r>
          </w:p>
        </w:tc>
        <w:tc>
          <w:tcPr>
            <w:tcW w:type="dxa" w:w="3286"/>
            <w:vAlign w:val="center"/>
          </w:tcPr>
          <w:p>
            <w:pPr>
              <w:spacing w:after="0"/>
            </w:pPr>
            <w:r/>
            <w:r>
              <w:rPr>
                <w:b w:val="0"/>
              </w:rPr>
              <w:t>Une structure neutre calcule les points monde depuis l’état métier.</w:t>
            </w:r>
          </w:p>
        </w:tc>
        <w:tc>
          <w:tcPr>
            <w:tcW w:type="dxa" w:w="3286"/>
            <w:vAlign w:val="center"/>
          </w:tcPr>
          <w:p>
            <w:pPr>
              <w:spacing w:after="0"/>
            </w:pPr>
            <w:r/>
            <w:r>
              <w:rPr>
                <w:b w:val="0"/>
              </w:rPr>
              <w:t>Bonne étape de stabilisation ; sépare la reconstruction du rendu sans imposer encore toutes les décisions topologiques.</w:t>
            </w:r>
          </w:p>
        </w:tc>
      </w:tr>
      <w:tr>
        <w:tc>
          <w:tcPr>
            <w:tcW w:type="dxa" w:w="3286"/>
            <w:vAlign w:val="center"/>
          </w:tcPr>
          <w:p>
            <w:pPr>
              <w:spacing w:after="0"/>
            </w:pPr>
            <w:r/>
            <w:r>
              <w:rPr>
                <w:b/>
              </w:rPr>
              <w:t>D — Architecture cible complète</w:t>
            </w:r>
          </w:p>
        </w:tc>
        <w:tc>
          <w:tcPr>
            <w:tcW w:type="dxa" w:w="3286"/>
            <w:vAlign w:val="center"/>
          </w:tcPr>
          <w:p>
            <w:pPr>
              <w:spacing w:after="0"/>
            </w:pPr>
            <w:r/>
            <w:r>
              <w:rPr>
                <w:b w:val="0"/>
              </w:rPr>
              <w:t>Scénario topologique + ancrage → reconstruction → projection → cache UI.</w:t>
            </w:r>
          </w:p>
        </w:tc>
        <w:tc>
          <w:tcPr>
            <w:tcW w:type="dxa" w:w="3286"/>
            <w:vAlign w:val="center"/>
          </w:tcPr>
          <w:p>
            <w:pPr>
              <w:spacing w:after="0"/>
            </w:pPr>
            <w:r/>
            <w:r>
              <w:rPr>
                <w:b w:val="0"/>
              </w:rPr>
              <w:t>Direction finale probable, mais trop large pour MIG-GEO-001.</w:t>
            </w:r>
          </w:p>
        </w:tc>
      </w:tr>
      <w:tr>
        <w:tc>
          <w:tcPr>
            <w:tcW w:type="dxa" w:w="3286"/>
            <w:vAlign w:val="center"/>
          </w:tcPr>
          <w:p>
            <w:pPr>
              <w:spacing w:after="0"/>
            </w:pPr>
            <w:r/>
            <w:r>
              <w:rPr>
                <w:b/>
              </w:rPr>
              <w:t>E — Prévisualisation UI puis commande explicite</w:t>
            </w:r>
          </w:p>
        </w:tc>
        <w:tc>
          <w:tcPr>
            <w:tcW w:type="dxa" w:w="3286"/>
            <w:vAlign w:val="center"/>
          </w:tcPr>
          <w:p>
            <w:pPr>
              <w:spacing w:after="0"/>
            </w:pPr>
            <w:r/>
            <w:r>
              <w:rPr>
                <w:b w:val="0"/>
              </w:rPr>
              <w:t>L’UI manipule un aperçu, puis valide une commande Core qui reconstruit la projection.</w:t>
            </w:r>
          </w:p>
        </w:tc>
        <w:tc>
          <w:tcPr>
            <w:tcW w:type="dxa" w:w="3286"/>
            <w:vAlign w:val="center"/>
          </w:tcPr>
          <w:p>
            <w:pPr>
              <w:spacing w:after="0"/>
            </w:pPr>
            <w:r/>
            <w:r>
              <w:rPr>
                <w:b w:val="0"/>
              </w:rPr>
              <w:t>Modèle robuste pour les interactions futures, à envisager après stabilisation du contrat géométrique.</w:t>
            </w:r>
          </w:p>
        </w:tc>
      </w:tr>
    </w:tbl>
    <w:p>
      <w:pPr>
        <w:pStyle w:val="Heading1"/>
      </w:pPr>
      <w:r>
        <w:t>8. Contrat géométrique à formaliser</w:t>
      </w:r>
    </w:p>
    <w:p>
      <w:r>
        <w:t>Le contrat minimal recherché peut être exprimé ainsi :</w:t>
      </w:r>
    </w:p>
    <w:p>
      <w:pPr>
        <w:pStyle w:val="CodeBlock"/>
      </w:pPr>
      <w:r>
        <w:rPr>
          <w:rFonts w:ascii="Consolas" w:hAnsi="Consolas"/>
        </w:rPr>
        <w:t>world_points = project(local_geometry, pose)</w:t>
        <w:br/>
        <w:br/>
        <w:t>et, lorsque l’UI est encore autorisée à éditer les points monde :</w:t>
        <w:br/>
        <w:br/>
        <w:t>pose' = infer_pose(local_geometry, world_points)</w:t>
        <w:br/>
        <w:t>project(local_geometry, pose') ≈ world_points</w:t>
      </w:r>
    </w:p>
    <w:p>
      <w:r>
        <w:t>Le symbole d’approximation impose une tolérance numérique explicite. Il faut distinguer les erreurs flottantes normales, les conventions d’arrondi du rendu et les véritables divergences structurelles.</w:t>
      </w:r>
    </w:p>
    <w:p>
      <w:pPr>
        <w:pStyle w:val="Heading1"/>
      </w:pPr>
      <w:r>
        <w:t>9. Invariants proposés</w:t>
      </w:r>
    </w:p>
    <w:tbl>
      <w:tblPr>
        <w:tblStyle w:val="TableGrid"/>
        <w:tblW w:type="auto" w:w="0"/>
        <w:tblLook w:firstColumn="1" w:firstRow="1" w:lastColumn="0" w:lastRow="0" w:noHBand="0" w:noVBand="1" w:val="04A0"/>
      </w:tblPr>
      <w:tblGrid>
        <w:gridCol w:w="3286"/>
        <w:gridCol w:w="3286"/>
        <w:gridCol w:w="3286"/>
      </w:tblGrid>
      <w:tr>
        <w:tc>
          <w:tcPr>
            <w:tcW w:type="dxa" w:w="3286"/>
            <w:vAlign w:val="center"/>
            <w:shd w:fill="1F4E79"/>
          </w:tcPr>
          <w:p>
            <w:pPr>
              <w:spacing w:after="0"/>
            </w:pPr>
            <w:r/>
            <w:r>
              <w:rPr>
                <w:b/>
                <w:color w:val="FFFFFF"/>
              </w:rPr>
              <w:t>Identifiant</w:t>
            </w:r>
          </w:p>
        </w:tc>
        <w:tc>
          <w:tcPr>
            <w:tcW w:type="dxa" w:w="3286"/>
            <w:vAlign w:val="center"/>
            <w:shd w:fill="1F4E79"/>
          </w:tcPr>
          <w:p>
            <w:pPr>
              <w:spacing w:after="0"/>
            </w:pPr>
            <w:r/>
            <w:r>
              <w:rPr>
                <w:b/>
                <w:color w:val="FFFFFF"/>
              </w:rPr>
              <w:t>Invariant</w:t>
            </w:r>
          </w:p>
        </w:tc>
        <w:tc>
          <w:tcPr>
            <w:tcW w:type="dxa" w:w="3286"/>
            <w:vAlign w:val="center"/>
            <w:shd w:fill="1F4E79"/>
          </w:tcPr>
          <w:p>
            <w:pPr>
              <w:spacing w:after="0"/>
            </w:pPr>
            <w:r/>
            <w:r>
              <w:rPr>
                <w:b/>
                <w:color w:val="FFFFFF"/>
              </w:rPr>
              <w:t>Critère</w:t>
            </w:r>
          </w:p>
        </w:tc>
      </w:tr>
      <w:tr>
        <w:tc>
          <w:tcPr>
            <w:tcW w:type="dxa" w:w="3286"/>
            <w:vAlign w:val="center"/>
          </w:tcPr>
          <w:p>
            <w:pPr>
              <w:spacing w:after="0"/>
            </w:pPr>
            <w:r/>
            <w:r>
              <w:rPr>
                <w:b/>
              </w:rPr>
              <w:t>GEO-INV-001</w:t>
            </w:r>
          </w:p>
        </w:tc>
        <w:tc>
          <w:tcPr>
            <w:tcW w:type="dxa" w:w="3286"/>
            <w:vAlign w:val="center"/>
          </w:tcPr>
          <w:p>
            <w:pPr>
              <w:spacing w:after="0"/>
            </w:pPr>
            <w:r/>
            <w:r>
              <w:rPr>
                <w:b/>
              </w:rPr>
              <w:t>Validité numérique</w:t>
            </w:r>
          </w:p>
        </w:tc>
        <w:tc>
          <w:tcPr>
            <w:tcW w:type="dxa" w:w="3286"/>
            <w:vAlign w:val="center"/>
          </w:tcPr>
          <w:p>
            <w:pPr>
              <w:spacing w:after="0"/>
            </w:pPr>
            <w:r/>
            <w:r>
              <w:rPr>
                <w:b w:val="0"/>
              </w:rPr>
              <w:t>Toutes les coordonnées, angles, échelles et matrices sont finies ; absence de NaN et d’infini.</w:t>
            </w:r>
          </w:p>
        </w:tc>
      </w:tr>
      <w:tr>
        <w:tc>
          <w:tcPr>
            <w:tcW w:type="dxa" w:w="3286"/>
            <w:vAlign w:val="center"/>
          </w:tcPr>
          <w:p>
            <w:pPr>
              <w:spacing w:after="0"/>
            </w:pPr>
            <w:r/>
            <w:r>
              <w:rPr>
                <w:b/>
              </w:rPr>
              <w:t>GEO-INV-002</w:t>
            </w:r>
          </w:p>
        </w:tc>
        <w:tc>
          <w:tcPr>
            <w:tcW w:type="dxa" w:w="3286"/>
            <w:vAlign w:val="center"/>
          </w:tcPr>
          <w:p>
            <w:pPr>
              <w:spacing w:after="0"/>
            </w:pPr>
            <w:r/>
            <w:r>
              <w:rPr>
                <w:b/>
              </w:rPr>
              <w:t>Complétude O/B/L</w:t>
            </w:r>
          </w:p>
        </w:tc>
        <w:tc>
          <w:tcPr>
            <w:tcW w:type="dxa" w:w="3286"/>
            <w:vAlign w:val="center"/>
          </w:tcPr>
          <w:p>
            <w:pPr>
              <w:spacing w:after="0"/>
            </w:pPr>
            <w:r/>
            <w:r>
              <w:rPr>
                <w:b w:val="0"/>
              </w:rPr>
              <w:t>Chaque triangle exploitable possède exactement les points requis, sans sommet manquant ni doublon logique.</w:t>
            </w:r>
          </w:p>
        </w:tc>
      </w:tr>
      <w:tr>
        <w:tc>
          <w:tcPr>
            <w:tcW w:type="dxa" w:w="3286"/>
            <w:vAlign w:val="center"/>
          </w:tcPr>
          <w:p>
            <w:pPr>
              <w:spacing w:after="0"/>
            </w:pPr>
            <w:r/>
            <w:r>
              <w:rPr>
                <w:b/>
              </w:rPr>
              <w:t>GEO-INV-003</w:t>
            </w:r>
          </w:p>
        </w:tc>
        <w:tc>
          <w:tcPr>
            <w:tcW w:type="dxa" w:w="3286"/>
            <w:vAlign w:val="center"/>
          </w:tcPr>
          <w:p>
            <w:pPr>
              <w:spacing w:after="0"/>
            </w:pPr>
            <w:r/>
            <w:r>
              <w:rPr>
                <w:b/>
              </w:rPr>
              <w:t>Équivalence local + pose / monde</w:t>
            </w:r>
          </w:p>
        </w:tc>
        <w:tc>
          <w:tcPr>
            <w:tcW w:type="dxa" w:w="3286"/>
            <w:vAlign w:val="center"/>
          </w:tcPr>
          <w:p>
            <w:pPr>
              <w:spacing w:after="0"/>
            </w:pPr>
            <w:r/>
            <w:r>
              <w:rPr>
                <w:b w:val="0"/>
              </w:rPr>
              <w:t>La projection Core reproduit les points monde UI dans la tolérance définie.</w:t>
            </w:r>
          </w:p>
        </w:tc>
      </w:tr>
      <w:tr>
        <w:tc>
          <w:tcPr>
            <w:tcW w:type="dxa" w:w="3286"/>
            <w:vAlign w:val="center"/>
          </w:tcPr>
          <w:p>
            <w:pPr>
              <w:spacing w:after="0"/>
            </w:pPr>
            <w:r/>
            <w:r>
              <w:rPr>
                <w:b/>
              </w:rPr>
              <w:t>GEO-INV-004</w:t>
            </w:r>
          </w:p>
        </w:tc>
        <w:tc>
          <w:tcPr>
            <w:tcW w:type="dxa" w:w="3286"/>
            <w:vAlign w:val="center"/>
          </w:tcPr>
          <w:p>
            <w:pPr>
              <w:spacing w:after="0"/>
            </w:pPr>
            <w:r/>
            <w:r>
              <w:rPr>
                <w:b/>
              </w:rPr>
              <w:t>Rigidité</w:t>
            </w:r>
          </w:p>
        </w:tc>
        <w:tc>
          <w:tcPr>
            <w:tcW w:type="dxa" w:w="3286"/>
            <w:vAlign w:val="center"/>
          </w:tcPr>
          <w:p>
            <w:pPr>
              <w:spacing w:after="0"/>
            </w:pPr>
            <w:r/>
            <w:r>
              <w:rPr>
                <w:b w:val="0"/>
              </w:rPr>
              <w:t>Les longueurs de côtés et la forme locale sont conservées par les transformations autorisées.</w:t>
            </w:r>
          </w:p>
        </w:tc>
      </w:tr>
      <w:tr>
        <w:tc>
          <w:tcPr>
            <w:tcW w:type="dxa" w:w="3286"/>
            <w:vAlign w:val="center"/>
          </w:tcPr>
          <w:p>
            <w:pPr>
              <w:spacing w:after="0"/>
            </w:pPr>
            <w:r/>
            <w:r>
              <w:rPr>
                <w:b/>
              </w:rPr>
              <w:t>GEO-INV-005</w:t>
            </w:r>
          </w:p>
        </w:tc>
        <w:tc>
          <w:tcPr>
            <w:tcW w:type="dxa" w:w="3286"/>
            <w:vAlign w:val="center"/>
          </w:tcPr>
          <w:p>
            <w:pPr>
              <w:spacing w:after="0"/>
            </w:pPr>
            <w:r/>
            <w:r>
              <w:rPr>
                <w:b/>
              </w:rPr>
              <w:t>Cohérence du miroir</w:t>
            </w:r>
          </w:p>
        </w:tc>
        <w:tc>
          <w:tcPr>
            <w:tcW w:type="dxa" w:w="3286"/>
            <w:vAlign w:val="center"/>
          </w:tcPr>
          <w:p>
            <w:pPr>
              <w:spacing w:after="0"/>
            </w:pPr>
            <w:r/>
            <w:r>
              <w:rPr>
                <w:b w:val="0"/>
              </w:rPr>
              <w:t>La parité, l’ordre des sommets et le marqueur de miroir décrivent la même orientation.</w:t>
            </w:r>
          </w:p>
        </w:tc>
      </w:tr>
      <w:tr>
        <w:tc>
          <w:tcPr>
            <w:tcW w:type="dxa" w:w="3286"/>
            <w:vAlign w:val="center"/>
          </w:tcPr>
          <w:p>
            <w:pPr>
              <w:spacing w:after="0"/>
            </w:pPr>
            <w:r/>
            <w:r>
              <w:rPr>
                <w:b/>
              </w:rPr>
              <w:t>GEO-INV-006</w:t>
            </w:r>
          </w:p>
        </w:tc>
        <w:tc>
          <w:tcPr>
            <w:tcW w:type="dxa" w:w="3286"/>
            <w:vAlign w:val="center"/>
          </w:tcPr>
          <w:p>
            <w:pPr>
              <w:spacing w:after="0"/>
            </w:pPr>
            <w:r/>
            <w:r>
              <w:rPr>
                <w:b/>
              </w:rPr>
              <w:t>Cohérence des attachements</w:t>
            </w:r>
          </w:p>
        </w:tc>
        <w:tc>
          <w:tcPr>
            <w:tcW w:type="dxa" w:w="3286"/>
            <w:vAlign w:val="center"/>
          </w:tcPr>
          <w:p>
            <w:pPr>
              <w:spacing w:after="0"/>
            </w:pPr>
            <w:r/>
            <w:r>
              <w:rPr>
                <w:b w:val="0"/>
              </w:rPr>
              <w:t>Les sommets ou arêtes attachés coïncident géométriquement après projection.</w:t>
            </w:r>
          </w:p>
        </w:tc>
      </w:tr>
      <w:tr>
        <w:tc>
          <w:tcPr>
            <w:tcW w:type="dxa" w:w="3286"/>
            <w:vAlign w:val="center"/>
          </w:tcPr>
          <w:p>
            <w:pPr>
              <w:spacing w:after="0"/>
            </w:pPr>
            <w:r/>
            <w:r>
              <w:rPr>
                <w:b/>
              </w:rPr>
              <w:t>GEO-INV-007</w:t>
            </w:r>
          </w:p>
        </w:tc>
        <w:tc>
          <w:tcPr>
            <w:tcW w:type="dxa" w:w="3286"/>
            <w:vAlign w:val="center"/>
          </w:tcPr>
          <w:p>
            <w:pPr>
              <w:spacing w:after="0"/>
            </w:pPr>
            <w:r/>
            <w:r>
              <w:rPr>
                <w:b/>
              </w:rPr>
              <w:t>Cohérence de transformation de groupe</w:t>
            </w:r>
          </w:p>
        </w:tc>
        <w:tc>
          <w:tcPr>
            <w:tcW w:type="dxa" w:w="3286"/>
            <w:vAlign w:val="center"/>
          </w:tcPr>
          <w:p>
            <w:pPr>
              <w:spacing w:after="0"/>
            </w:pPr>
            <w:r/>
            <w:r>
              <w:rPr>
                <w:b w:val="0"/>
              </w:rPr>
              <w:t>Une transformation de groupe conserve les relations internes entre éléments.</w:t>
            </w:r>
          </w:p>
        </w:tc>
      </w:tr>
      <w:tr>
        <w:tc>
          <w:tcPr>
            <w:tcW w:type="dxa" w:w="3286"/>
            <w:vAlign w:val="center"/>
          </w:tcPr>
          <w:p>
            <w:pPr>
              <w:spacing w:after="0"/>
            </w:pPr>
            <w:r/>
            <w:r>
              <w:rPr>
                <w:b/>
              </w:rPr>
              <w:t>GEO-INV-008</w:t>
            </w:r>
          </w:p>
        </w:tc>
        <w:tc>
          <w:tcPr>
            <w:tcW w:type="dxa" w:w="3286"/>
            <w:vAlign w:val="center"/>
          </w:tcPr>
          <w:p>
            <w:pPr>
              <w:spacing w:after="0"/>
            </w:pPr>
            <w:r/>
            <w:r>
              <w:rPr>
                <w:b/>
              </w:rPr>
              <w:t>Cohérence post-commit UI/Core</w:t>
            </w:r>
          </w:p>
        </w:tc>
        <w:tc>
          <w:tcPr>
            <w:tcW w:type="dxa" w:w="3286"/>
            <w:vAlign w:val="center"/>
          </w:tcPr>
          <w:p>
            <w:pPr>
              <w:spacing w:after="0"/>
            </w:pPr>
            <w:r/>
            <w:r>
              <w:rPr>
                <w:b w:val="0"/>
              </w:rPr>
              <w:t>Après validation d’une interaction, le Core et le cache UI décrivent le même état.</w:t>
            </w:r>
          </w:p>
        </w:tc>
      </w:tr>
      <w:tr>
        <w:tc>
          <w:tcPr>
            <w:tcW w:type="dxa" w:w="3286"/>
            <w:vAlign w:val="center"/>
          </w:tcPr>
          <w:p>
            <w:pPr>
              <w:spacing w:after="0"/>
            </w:pPr>
            <w:r/>
            <w:r>
              <w:rPr>
                <w:b/>
              </w:rPr>
              <w:t>GEO-INV-009</w:t>
            </w:r>
          </w:p>
        </w:tc>
        <w:tc>
          <w:tcPr>
            <w:tcW w:type="dxa" w:w="3286"/>
            <w:vAlign w:val="center"/>
          </w:tcPr>
          <w:p>
            <w:pPr>
              <w:spacing w:after="0"/>
            </w:pPr>
            <w:r/>
            <w:r>
              <w:rPr>
                <w:b/>
              </w:rPr>
              <w:t>Isolation des scénarios</w:t>
            </w:r>
          </w:p>
        </w:tc>
        <w:tc>
          <w:tcPr>
            <w:tcW w:type="dxa" w:w="3286"/>
            <w:vAlign w:val="center"/>
          </w:tcPr>
          <w:p>
            <w:pPr>
              <w:spacing w:after="0"/>
            </w:pPr>
            <w:r/>
            <w:r>
              <w:rPr>
                <w:b w:val="0"/>
              </w:rPr>
              <w:t>Une opération sur un scénario ne modifie aucune structure géométrique d’un autre scénario.</w:t>
            </w:r>
          </w:p>
        </w:tc>
      </w:tr>
      <w:tr>
        <w:tc>
          <w:tcPr>
            <w:tcW w:type="dxa" w:w="3286"/>
            <w:vAlign w:val="center"/>
          </w:tcPr>
          <w:p>
            <w:pPr>
              <w:spacing w:after="0"/>
            </w:pPr>
            <w:r/>
            <w:r>
              <w:rPr>
                <w:b/>
              </w:rPr>
              <w:t>GEO-INV-010</w:t>
            </w:r>
          </w:p>
        </w:tc>
        <w:tc>
          <w:tcPr>
            <w:tcW w:type="dxa" w:w="3286"/>
            <w:vAlign w:val="center"/>
          </w:tcPr>
          <w:p>
            <w:pPr>
              <w:spacing w:after="0"/>
            </w:pPr>
            <w:r/>
            <w:r>
              <w:rPr>
                <w:b/>
              </w:rPr>
              <w:t>Fraîcheur du cache dérivé</w:t>
            </w:r>
          </w:p>
        </w:tc>
        <w:tc>
          <w:tcPr>
            <w:tcW w:type="dxa" w:w="3286"/>
            <w:vAlign w:val="center"/>
          </w:tcPr>
          <w:p>
            <w:pPr>
              <w:spacing w:after="0"/>
            </w:pPr>
            <w:r/>
            <w:r>
              <w:rPr>
                <w:b w:val="0"/>
              </w:rPr>
              <w:t>Tout cache de points monde correspond à la version courante de l’état métier.</w:t>
            </w:r>
          </w:p>
        </w:tc>
      </w:tr>
    </w:tbl>
    <w:p>
      <w:pPr>
        <w:pStyle w:val="Heading1"/>
      </w:pPr>
      <w:r>
        <w:t>10. Ce que le validateur ne doit pas devenir</w:t>
      </w:r>
    </w:p>
    <w:p>
      <w:r>
        <w:t>Le validateur de MIG-GEO-001 ne doit pas chercher à certifier toute l’architecture topologique. Il doit être construit au service d’une décision de migration précise. Un validateur trop général serait long à écrire, difficile à interpréter et rapidement obsolète.</w:t>
      </w:r>
    </w:p>
    <w:p>
      <w:pPr>
        <w:pStyle w:val="ListBullet"/>
      </w:pPr>
      <w:r>
        <w:t>Il ne doit pas reconstruire tout le scénario topologique.</w:t>
      </w:r>
    </w:p>
    <w:p>
      <w:pPr>
        <w:pStyle w:val="ListBullet"/>
      </w:pPr>
      <w:r>
        <w:t>Il ne doit pas imposer dès maintenant une nouvelle persistance XML.</w:t>
      </w:r>
    </w:p>
    <w:p>
      <w:pPr>
        <w:pStyle w:val="ListBullet"/>
      </w:pPr>
      <w:r>
        <w:t>Il ne doit pas remplacer le moteur de rendu.</w:t>
      </w:r>
    </w:p>
    <w:p>
      <w:pPr>
        <w:pStyle w:val="ListBullet"/>
      </w:pPr>
      <w:r>
        <w:t>Il ne doit pas corriger silencieusement les divergences.</w:t>
      </w:r>
    </w:p>
    <w:p>
      <w:pPr>
        <w:pStyle w:val="ListBullet"/>
      </w:pPr>
      <w:r>
        <w:t>Il ne doit pas transformer une observation en règle avant validation du code.</w:t>
      </w:r>
    </w:p>
    <w:p>
      <w:pPr>
        <w:pStyle w:val="Heading1"/>
      </w:pPr>
      <w:r>
        <w:t>11. Définition recommandée de MIG-GEO-001</w:t>
      </w:r>
    </w:p>
    <w:p>
      <w:pPr>
        <w:pStyle w:val="Executive"/>
      </w:pPr>
      <w:r>
        <w:t>MIG-GEO-001 — Formalisation et stabilisation du contrat « géométrie locale / pose / coordonnées monde ».</w:t>
      </w:r>
    </w:p>
    <w:p>
      <w:r>
        <w:t>Cette migration doit établir une vision vérifiée de toutes les structures géométriques, de leurs producteurs, de leurs consommateurs et de leurs règles de synchronisation. Elle doit rendre calculable et testable la projection Core vers monde, mesurer son équivalence avec la représentation UI et préparer la migration ultérieure vers une autorité unique.</w:t>
      </w:r>
    </w:p>
    <w:p>
      <w:pPr>
        <w:pStyle w:val="Heading1"/>
      </w:pPr>
      <w:r>
        <w:t>12. Périmètre proposé</w:t>
      </w:r>
    </w:p>
    <w:p>
      <w:pPr>
        <w:pStyle w:val="Heading2"/>
      </w:pPr>
      <w:r>
        <w:t>12.1 Dans le périmètre</w:t>
      </w:r>
    </w:p>
    <w:p>
      <w:pPr>
        <w:pStyle w:val="ListBullet"/>
      </w:pPr>
      <w:r>
        <w:t>Inventaire des structures contenant une géométrie locale, une pose ou des points monde.</w:t>
      </w:r>
    </w:p>
    <w:p>
      <w:pPr>
        <w:pStyle w:val="ListBullet"/>
      </w:pPr>
      <w:r>
        <w:t>Inventaire de toutes les écritures et lectures métier de _last_drawn / Scenario.last_drawn.</w:t>
      </w:r>
    </w:p>
    <w:p>
      <w:pPr>
        <w:pStyle w:val="ListBullet"/>
      </w:pPr>
      <w:r>
        <w:t>Analyse des conversions monde ↔ local et des fonctions de synchronisation.</w:t>
      </w:r>
    </w:p>
    <w:p>
      <w:pPr>
        <w:pStyle w:val="ListBullet"/>
      </w:pPr>
      <w:r>
        <w:t>Cartographie par opération : source initiale, mutation, synchronisation, autorité finale.</w:t>
      </w:r>
    </w:p>
    <w:p>
      <w:pPr>
        <w:pStyle w:val="ListBullet"/>
      </w:pPr>
      <w:r>
        <w:t>Vérification de la reconstructibilité des points monde depuis le Core.</w:t>
      </w:r>
    </w:p>
    <w:p>
      <w:pPr>
        <w:pStyle w:val="ListBullet"/>
      </w:pPr>
      <w:r>
        <w:t>Caractérisation explicite du miroir et de l’ordre des sommets.</w:t>
      </w:r>
    </w:p>
    <w:p>
      <w:pPr>
        <w:pStyle w:val="ListBullet"/>
      </w:pPr>
      <w:r>
        <w:t>Analyse de la persistance et de la restauration XML des représentations géométriques.</w:t>
      </w:r>
    </w:p>
    <w:p>
      <w:pPr>
        <w:pStyle w:val="ListBullet"/>
      </w:pPr>
      <w:r>
        <w:t>Définition du premier comparateur ou validateur minimal.</w:t>
      </w:r>
    </w:p>
    <w:p>
      <w:pPr>
        <w:pStyle w:val="Heading2"/>
      </w:pPr>
      <w:r>
        <w:t>12.2 Hors périmètre</w:t>
      </w:r>
    </w:p>
    <w:p>
      <w:pPr>
        <w:pStyle w:val="ListBullet"/>
      </w:pPr>
      <w:r>
        <w:t>Suppression immédiate de _last_drawn.</w:t>
      </w:r>
    </w:p>
    <w:p>
      <w:pPr>
        <w:pStyle w:val="ListBullet"/>
      </w:pPr>
      <w:r>
        <w:t>Refonte complète de TopologyWorld.</w:t>
      </w:r>
    </w:p>
    <w:p>
      <w:pPr>
        <w:pStyle w:val="ListBullet"/>
      </w:pPr>
      <w:r>
        <w:t>Migration de toutes les interactions UI.</w:t>
      </w:r>
    </w:p>
    <w:p>
      <w:pPr>
        <w:pStyle w:val="ListBullet"/>
      </w:pPr>
      <w:r>
        <w:t>Refonte générale du collage et des groupes.</w:t>
      </w:r>
    </w:p>
    <w:p>
      <w:pPr>
        <w:pStyle w:val="ListBullet"/>
      </w:pPr>
      <w:r>
        <w:t>Nouveau format XML.</w:t>
      </w:r>
    </w:p>
    <w:p>
      <w:pPr>
        <w:pStyle w:val="ListBullet"/>
      </w:pPr>
      <w:r>
        <w:t>Reconstruction topologique complète, slots, variantes ou catalogue multiversion.</w:t>
      </w:r>
    </w:p>
    <w:p>
      <w:pPr>
        <w:pStyle w:val="ListBullet"/>
      </w:pPr>
      <w:r>
        <w:t>Correction automatique de toutes les incohérences détectées.</w:t>
      </w:r>
    </w:p>
    <w:p>
      <w:pPr>
        <w:pStyle w:val="Heading1"/>
      </w:pPr>
      <w:r>
        <w:t>13. Audit du code attendu</w:t>
      </w:r>
    </w:p>
    <w:p>
      <w:r>
        <w:t>L’audit Codex doit confronter chaque hypothèse de ce document au code réel. Chaque conclusion doit être accompagnée de chemins de fichiers, noms de classes ou fonctions, et d’un enchaînement de données vérifiable.</w:t>
      </w:r>
    </w:p>
    <w:tbl>
      <w:tblPr>
        <w:tblStyle w:val="TableGrid"/>
        <w:tblW w:type="auto" w:w="0"/>
        <w:tblLook w:firstColumn="1" w:firstRow="1" w:lastColumn="0" w:lastRow="0" w:noHBand="0" w:noVBand="1" w:val="04A0"/>
      </w:tblPr>
      <w:tblGrid>
        <w:gridCol w:w="4929"/>
        <w:gridCol w:w="4929"/>
      </w:tblGrid>
      <w:tr>
        <w:tc>
          <w:tcPr>
            <w:tcW w:type="dxa" w:w="4929"/>
            <w:vAlign w:val="center"/>
            <w:shd w:fill="2F5597"/>
          </w:tcPr>
          <w:p>
            <w:pPr>
              <w:spacing w:after="0"/>
            </w:pPr>
            <w:r/>
            <w:r>
              <w:rPr>
                <w:b/>
                <w:color w:val="FFFFFF"/>
              </w:rPr>
              <w:t>Axe</w:t>
            </w:r>
          </w:p>
        </w:tc>
        <w:tc>
          <w:tcPr>
            <w:tcW w:type="dxa" w:w="4929"/>
            <w:vAlign w:val="center"/>
            <w:shd w:fill="2F5597"/>
          </w:tcPr>
          <w:p>
            <w:pPr>
              <w:spacing w:after="0"/>
            </w:pPr>
            <w:r/>
            <w:r>
              <w:rPr>
                <w:b/>
                <w:color w:val="FFFFFF"/>
              </w:rPr>
              <w:t>Résultat attendu</w:t>
            </w:r>
          </w:p>
        </w:tc>
      </w:tr>
      <w:tr>
        <w:tc>
          <w:tcPr>
            <w:tcW w:type="dxa" w:w="4929"/>
            <w:vAlign w:val="center"/>
          </w:tcPr>
          <w:p>
            <w:pPr>
              <w:spacing w:after="0"/>
            </w:pPr>
            <w:r/>
            <w:r>
              <w:rPr>
                <w:b/>
              </w:rPr>
              <w:t>Cartographie statique</w:t>
            </w:r>
          </w:p>
        </w:tc>
        <w:tc>
          <w:tcPr>
            <w:tcW w:type="dxa" w:w="4929"/>
            <w:vAlign w:val="center"/>
          </w:tcPr>
          <w:p>
            <w:pPr>
              <w:spacing w:after="0"/>
            </w:pPr>
            <w:r/>
            <w:r>
              <w:rPr>
                <w:b w:val="0"/>
              </w:rPr>
              <w:t>Localiser toutes les écritures/lectures géométriques et les chemins de synchronisation.</w:t>
            </w:r>
          </w:p>
        </w:tc>
      </w:tr>
      <w:tr>
        <w:tc>
          <w:tcPr>
            <w:tcW w:type="dxa" w:w="4929"/>
            <w:vAlign w:val="center"/>
          </w:tcPr>
          <w:p>
            <w:pPr>
              <w:spacing w:after="0"/>
            </w:pPr>
            <w:r/>
            <w:r>
              <w:rPr>
                <w:b/>
              </w:rPr>
              <w:t>Flux par opération</w:t>
            </w:r>
          </w:p>
        </w:tc>
        <w:tc>
          <w:tcPr>
            <w:tcW w:type="dxa" w:w="4929"/>
            <w:vAlign w:val="center"/>
          </w:tcPr>
          <w:p>
            <w:pPr>
              <w:spacing w:after="0"/>
            </w:pPr>
            <w:r/>
            <w:r>
              <w:rPr>
                <w:b w:val="0"/>
              </w:rPr>
              <w:t>Tracer placement, déplacement, rotation, miroir, collage, ungroup, suppression, XML, duplication et changement de scénario.</w:t>
            </w:r>
          </w:p>
        </w:tc>
      </w:tr>
      <w:tr>
        <w:tc>
          <w:tcPr>
            <w:tcW w:type="dxa" w:w="4929"/>
            <w:vAlign w:val="center"/>
          </w:tcPr>
          <w:p>
            <w:pPr>
              <w:spacing w:after="0"/>
            </w:pPr>
            <w:r/>
            <w:r>
              <w:rPr>
                <w:b/>
              </w:rPr>
              <w:t>Reconstruction</w:t>
            </w:r>
          </w:p>
        </w:tc>
        <w:tc>
          <w:tcPr>
            <w:tcW w:type="dxa" w:w="4929"/>
            <w:vAlign w:val="center"/>
          </w:tcPr>
          <w:p>
            <w:pPr>
              <w:spacing w:after="0"/>
            </w:pPr>
            <w:r/>
            <w:r>
              <w:rPr>
                <w:b w:val="0"/>
              </w:rPr>
              <w:t>Identifier la fonction existante ou la formule permettant local + pose → monde.</w:t>
            </w:r>
          </w:p>
        </w:tc>
      </w:tr>
      <w:tr>
        <w:tc>
          <w:tcPr>
            <w:tcW w:type="dxa" w:w="4929"/>
            <w:vAlign w:val="center"/>
          </w:tcPr>
          <w:p>
            <w:pPr>
              <w:spacing w:after="0"/>
            </w:pPr>
            <w:r/>
            <w:r>
              <w:rPr>
                <w:b/>
              </w:rPr>
              <w:t>Inverse</w:t>
            </w:r>
          </w:p>
        </w:tc>
        <w:tc>
          <w:tcPr>
            <w:tcW w:type="dxa" w:w="4929"/>
            <w:vAlign w:val="center"/>
          </w:tcPr>
          <w:p>
            <w:pPr>
              <w:spacing w:after="0"/>
            </w:pPr>
            <w:r/>
            <w:r>
              <w:rPr>
                <w:b w:val="0"/>
              </w:rPr>
              <w:t>Identifier comment une pose est déduite des points monde et avec quelles hypothèses.</w:t>
            </w:r>
          </w:p>
        </w:tc>
      </w:tr>
      <w:tr>
        <w:tc>
          <w:tcPr>
            <w:tcW w:type="dxa" w:w="4929"/>
            <w:vAlign w:val="center"/>
          </w:tcPr>
          <w:p>
            <w:pPr>
              <w:spacing w:after="0"/>
            </w:pPr>
            <w:r/>
            <w:r>
              <w:rPr>
                <w:b/>
              </w:rPr>
              <w:t>Persistance</w:t>
            </w:r>
          </w:p>
        </w:tc>
        <w:tc>
          <w:tcPr>
            <w:tcW w:type="dxa" w:w="4929"/>
            <w:vAlign w:val="center"/>
          </w:tcPr>
          <w:p>
            <w:pPr>
              <w:spacing w:after="0"/>
            </w:pPr>
            <w:r/>
            <w:r>
              <w:rPr>
                <w:b w:val="0"/>
              </w:rPr>
              <w:t>Déterminer précisément quelles représentations sont sauvegardées et laquelle prévaut au chargement.</w:t>
            </w:r>
          </w:p>
        </w:tc>
      </w:tr>
      <w:tr>
        <w:tc>
          <w:tcPr>
            <w:tcW w:type="dxa" w:w="4929"/>
            <w:vAlign w:val="center"/>
          </w:tcPr>
          <w:p>
            <w:pPr>
              <w:spacing w:after="0"/>
            </w:pPr>
            <w:r/>
            <w:r>
              <w:rPr>
                <w:b/>
              </w:rPr>
              <w:t>Écarts</w:t>
            </w:r>
          </w:p>
        </w:tc>
        <w:tc>
          <w:tcPr>
            <w:tcW w:type="dxa" w:w="4929"/>
            <w:vAlign w:val="center"/>
          </w:tcPr>
          <w:p>
            <w:pPr>
              <w:spacing w:after="0"/>
            </w:pPr>
            <w:r/>
            <w:r>
              <w:rPr>
                <w:b w:val="0"/>
              </w:rPr>
              <w:t>Classer les divergences possibles : arrondi, convention, cache obsolète ou modèle incomplet.</w:t>
            </w:r>
          </w:p>
        </w:tc>
      </w:tr>
    </w:tbl>
    <w:p>
      <w:pPr>
        <w:pStyle w:val="Heading1"/>
      </w:pPr>
      <w:r>
        <w:t>14. Classification des conclusions</w:t>
      </w:r>
    </w:p>
    <w:p>
      <w:r>
        <w:t>Pour chaque affirmation, l’audit devra utiliser l’un des statuts suivants :</w:t>
      </w:r>
    </w:p>
    <w:p>
      <w:pPr>
        <w:pStyle w:val="ListBullet"/>
      </w:pPr>
      <w:r>
        <w:t>CONFIRMÉE PAR LE CODE — le chemin d’exécution et les données l’établissent clairement.</w:t>
      </w:r>
    </w:p>
    <w:p>
      <w:pPr>
        <w:pStyle w:val="ListBullet"/>
      </w:pPr>
      <w:r>
        <w:t>PARTIELLEMENT CONFIRMÉE — vraie dans certains chemins, fausse ou différente dans d’autres.</w:t>
      </w:r>
    </w:p>
    <w:p>
      <w:pPr>
        <w:pStyle w:val="ListBullet"/>
      </w:pPr>
      <w:r>
        <w:t>INFIRMÉE — le code démontre un fonctionnement différent.</w:t>
      </w:r>
    </w:p>
    <w:p>
      <w:pPr>
        <w:pStyle w:val="ListBullet"/>
      </w:pPr>
      <w:r>
        <w:t>INDÉTERMINÉE STATIQUEMENT — un test ou une instrumentation est nécessaire.</w:t>
      </w:r>
    </w:p>
    <w:p>
      <w:pPr>
        <w:pStyle w:val="Heading1"/>
      </w:pPr>
      <w:r>
        <w:t>15. Instrumentation dynamique autorisée</w:t>
      </w:r>
    </w:p>
    <w:p>
      <w:r>
        <w:t>Si l’analyse statique ne suffit pas, une instrumentation temporaire et réversible peut être proposée. Elle ne doit pas modifier le comportement fonctionnel.</w:t>
      </w:r>
    </w:p>
    <w:p>
      <w:pPr>
        <w:pStyle w:val="ListBullet"/>
      </w:pPr>
      <w:r>
        <w:t>Journaliser les mutations de points monde et de poses.</w:t>
      </w:r>
    </w:p>
    <w:p>
      <w:pPr>
        <w:pStyle w:val="ListBullet"/>
      </w:pPr>
      <w:r>
        <w:t>Comparer après opération les points UI avec les points reconstruits depuis le Core.</w:t>
      </w:r>
    </w:p>
    <w:p>
      <w:pPr>
        <w:pStyle w:val="ListBullet"/>
      </w:pPr>
      <w:r>
        <w:t>Afficher l’écart maximal par sommet et par élément.</w:t>
      </w:r>
    </w:p>
    <w:p>
      <w:pPr>
        <w:pStyle w:val="ListBullet"/>
      </w:pPr>
      <w:r>
        <w:t>Capturer la première fonction ou étape après laquelle apparaît une divergence.</w:t>
      </w:r>
    </w:p>
    <w:p>
      <w:pPr>
        <w:pStyle w:val="ListBullet"/>
      </w:pPr>
      <w:r>
        <w:t>Vérifier l’isolation entre scénarios lors d’une duplication et d’un changement actif.</w:t>
      </w:r>
    </w:p>
    <w:p>
      <w:pPr>
        <w:pStyle w:val="Heading1"/>
      </w:pPr>
      <w:r>
        <w:t>16. Livrables de l’audit Codex</w:t>
      </w:r>
    </w:p>
    <w:p>
      <w:pPr>
        <w:pStyle w:val="ListBullet"/>
      </w:pPr>
      <w:r>
        <w:t>Un rapport Markdown autonome.</w:t>
      </w:r>
    </w:p>
    <w:p>
      <w:pPr>
        <w:pStyle w:val="ListBullet"/>
      </w:pPr>
      <w:r>
        <w:t>Une matrice des sources de vérité par opération.</w:t>
      </w:r>
    </w:p>
    <w:p>
      <w:pPr>
        <w:pStyle w:val="ListBullet"/>
      </w:pPr>
      <w:r>
        <w:t>Une cartographie des fonctions et structures géométriques.</w:t>
      </w:r>
    </w:p>
    <w:p>
      <w:pPr>
        <w:pStyle w:val="ListBullet"/>
      </w:pPr>
      <w:r>
        <w:t>Une liste des hypothèses confirmées, partielles, infirmées ou indéterminées.</w:t>
      </w:r>
    </w:p>
    <w:p>
      <w:pPr>
        <w:pStyle w:val="ListBullet"/>
      </w:pPr>
      <w:r>
        <w:t>Les risques bloquant une projection Core fiable.</w:t>
      </w:r>
    </w:p>
    <w:p>
      <w:pPr>
        <w:pStyle w:val="ListBullet"/>
      </w:pPr>
      <w:r>
        <w:t>Une recommandation argumentée pour le premier invariant à automatiser.</w:t>
      </w:r>
    </w:p>
    <w:p>
      <w:pPr>
        <w:pStyle w:val="ListBullet"/>
      </w:pPr>
      <w:r>
        <w:t>Une proposition de périmètre révisé de MIG-GEO-001, sans implémentation.</w:t>
      </w:r>
    </w:p>
    <w:p>
      <w:pPr>
        <w:pStyle w:val="Heading1"/>
      </w:pPr>
      <w:r>
        <w:t>17. Critères de décision après audit</w:t>
      </w:r>
    </w:p>
    <w:p>
      <w:r>
        <w:t>À l’issue de l’audit, quatre décisions principales seront possibles :</w:t>
      </w:r>
    </w:p>
    <w:tbl>
      <w:tblPr>
        <w:tblStyle w:val="TableGrid"/>
        <w:tblW w:type="auto" w:w="0"/>
        <w:tblLook w:firstColumn="1" w:firstRow="1" w:lastColumn="0" w:lastRow="0" w:noHBand="0" w:noVBand="1" w:val="04A0"/>
      </w:tblPr>
      <w:tblGrid>
        <w:gridCol w:w="3286"/>
        <w:gridCol w:w="3286"/>
        <w:gridCol w:w="3286"/>
      </w:tblGrid>
      <w:tr>
        <w:tc>
          <w:tcPr>
            <w:tcW w:type="dxa" w:w="3286"/>
            <w:vAlign w:val="center"/>
            <w:shd w:fill="44546A"/>
          </w:tcPr>
          <w:p>
            <w:pPr>
              <w:spacing w:after="0"/>
            </w:pPr>
            <w:r/>
            <w:r>
              <w:rPr>
                <w:b/>
                <w:color w:val="FFFFFF"/>
              </w:rPr>
              <w:t>Cas</w:t>
            </w:r>
          </w:p>
        </w:tc>
        <w:tc>
          <w:tcPr>
            <w:tcW w:type="dxa" w:w="3286"/>
            <w:vAlign w:val="center"/>
            <w:shd w:fill="44546A"/>
          </w:tcPr>
          <w:p>
            <w:pPr>
              <w:spacing w:after="0"/>
            </w:pPr>
            <w:r/>
            <w:r>
              <w:rPr>
                <w:b/>
                <w:color w:val="FFFFFF"/>
              </w:rPr>
              <w:t>Constat</w:t>
            </w:r>
          </w:p>
        </w:tc>
        <w:tc>
          <w:tcPr>
            <w:tcW w:type="dxa" w:w="3286"/>
            <w:vAlign w:val="center"/>
            <w:shd w:fill="44546A"/>
          </w:tcPr>
          <w:p>
            <w:pPr>
              <w:spacing w:after="0"/>
            </w:pPr>
            <w:r/>
            <w:r>
              <w:rPr>
                <w:b/>
                <w:color w:val="FFFFFF"/>
              </w:rPr>
              <w:t>Suite recommandée</w:t>
            </w:r>
          </w:p>
        </w:tc>
      </w:tr>
      <w:tr>
        <w:tc>
          <w:tcPr>
            <w:tcW w:type="dxa" w:w="3286"/>
            <w:vAlign w:val="center"/>
          </w:tcPr>
          <w:p>
            <w:pPr>
              <w:spacing w:after="0"/>
            </w:pPr>
            <w:r/>
            <w:r>
              <w:rPr>
                <w:b/>
              </w:rPr>
              <w:t>Décision 1</w:t>
            </w:r>
          </w:p>
        </w:tc>
        <w:tc>
          <w:tcPr>
            <w:tcW w:type="dxa" w:w="3286"/>
            <w:vAlign w:val="center"/>
          </w:tcPr>
          <w:p>
            <w:pPr>
              <w:spacing w:after="0"/>
            </w:pPr>
            <w:r/>
            <w:r>
              <w:rPr>
                <w:b w:val="0"/>
              </w:rPr>
              <w:t>La projection Core est exacte</w:t>
            </w:r>
          </w:p>
        </w:tc>
        <w:tc>
          <w:tcPr>
            <w:tcW w:type="dxa" w:w="3286"/>
            <w:vAlign w:val="center"/>
          </w:tcPr>
          <w:p>
            <w:pPr>
              <w:spacing w:after="0"/>
            </w:pPr>
            <w:r/>
            <w:r>
              <w:rPr>
                <w:b w:val="0"/>
              </w:rPr>
              <w:t>Créer un validateur GEO-INV-003 puis migrer une opération simple vers Core → UI.</w:t>
            </w:r>
          </w:p>
        </w:tc>
      </w:tr>
      <w:tr>
        <w:tc>
          <w:tcPr>
            <w:tcW w:type="dxa" w:w="3286"/>
            <w:vAlign w:val="center"/>
          </w:tcPr>
          <w:p>
            <w:pPr>
              <w:spacing w:after="0"/>
            </w:pPr>
            <w:r/>
            <w:r>
              <w:rPr>
                <w:b/>
              </w:rPr>
              <w:t>Décision 2</w:t>
            </w:r>
          </w:p>
        </w:tc>
        <w:tc>
          <w:tcPr>
            <w:tcW w:type="dxa" w:w="3286"/>
            <w:vAlign w:val="center"/>
          </w:tcPr>
          <w:p>
            <w:pPr>
              <w:spacing w:after="0"/>
            </w:pPr>
            <w:r/>
            <w:r>
              <w:rPr>
                <w:b w:val="0"/>
              </w:rPr>
              <w:t>La projection est exacte sauf miroir</w:t>
            </w:r>
          </w:p>
        </w:tc>
        <w:tc>
          <w:tcPr>
            <w:tcW w:type="dxa" w:w="3286"/>
            <w:vAlign w:val="center"/>
          </w:tcPr>
          <w:p>
            <w:pPr>
              <w:spacing w:after="0"/>
            </w:pPr>
            <w:r/>
            <w:r>
              <w:rPr>
                <w:b w:val="0"/>
              </w:rPr>
              <w:t>Isoler d’abord la convention miroir et créer un validateur GEO-INV-005.</w:t>
            </w:r>
          </w:p>
        </w:tc>
      </w:tr>
      <w:tr>
        <w:tc>
          <w:tcPr>
            <w:tcW w:type="dxa" w:w="3286"/>
            <w:vAlign w:val="center"/>
          </w:tcPr>
          <w:p>
            <w:pPr>
              <w:spacing w:after="0"/>
            </w:pPr>
            <w:r/>
            <w:r>
              <w:rPr>
                <w:b/>
              </w:rPr>
              <w:t>Décision 3</w:t>
            </w:r>
          </w:p>
        </w:tc>
        <w:tc>
          <w:tcPr>
            <w:tcW w:type="dxa" w:w="3286"/>
            <w:vAlign w:val="center"/>
          </w:tcPr>
          <w:p>
            <w:pPr>
              <w:spacing w:after="0"/>
            </w:pPr>
            <w:r/>
            <w:r>
              <w:rPr>
                <w:b w:val="0"/>
              </w:rPr>
              <w:t>La pose ne suffit pas</w:t>
            </w:r>
          </w:p>
        </w:tc>
        <w:tc>
          <w:tcPr>
            <w:tcW w:type="dxa" w:w="3286"/>
            <w:vAlign w:val="center"/>
          </w:tcPr>
          <w:p>
            <w:pPr>
              <w:spacing w:after="0"/>
            </w:pPr>
            <w:r/>
            <w:r>
              <w:rPr>
                <w:b w:val="0"/>
              </w:rPr>
              <w:t>Faire évoluer le modèle de pose ou introduire une projection intermédiaire avant toute inversion d’autorité.</w:t>
            </w:r>
          </w:p>
        </w:tc>
      </w:tr>
      <w:tr>
        <w:tc>
          <w:tcPr>
            <w:tcW w:type="dxa" w:w="3286"/>
            <w:vAlign w:val="center"/>
          </w:tcPr>
          <w:p>
            <w:pPr>
              <w:spacing w:after="0"/>
            </w:pPr>
            <w:r/>
            <w:r>
              <w:rPr>
                <w:b/>
              </w:rPr>
              <w:t>Décision 4</w:t>
            </w:r>
          </w:p>
        </w:tc>
        <w:tc>
          <w:tcPr>
            <w:tcW w:type="dxa" w:w="3286"/>
            <w:vAlign w:val="center"/>
          </w:tcPr>
          <w:p>
            <w:pPr>
              <w:spacing w:after="0"/>
            </w:pPr>
            <w:r/>
            <w:r>
              <w:rPr>
                <w:b w:val="0"/>
              </w:rPr>
              <w:t>Le XML réintroduit des divergences</w:t>
            </w:r>
          </w:p>
        </w:tc>
        <w:tc>
          <w:tcPr>
            <w:tcW w:type="dxa" w:w="3286"/>
            <w:vAlign w:val="center"/>
          </w:tcPr>
          <w:p>
            <w:pPr>
              <w:spacing w:after="0"/>
            </w:pPr>
            <w:r/>
            <w:r>
              <w:rPr>
                <w:b w:val="0"/>
              </w:rPr>
              <w:t>Traiter en priorité la règle de restauration et la détection des doubles vérités persistées.</w:t>
            </w:r>
          </w:p>
        </w:tc>
      </w:tr>
    </w:tbl>
    <w:p>
      <w:pPr>
        <w:pStyle w:val="Heading1"/>
      </w:pPr>
      <w:r>
        <w:t>18. Conclusion</w:t>
      </w:r>
    </w:p>
    <w:p>
      <w:r>
        <w:t>MIG-GEO-001 est le premier chantier de convergence géométrique entre l’UI et le Core, mais il ne doit pas être confondu avec la migration finale vers l’architecture cible. Sa valeur réside dans l’établissement d’un contrat mesurable et vérifié. Le code décidera ensuite si _last_drawn peut devenir immédiatement un cache dérivé, si une couche de projection est nécessaire ou si certaines conventions — notamment le miroir, les groupes et la restauration XML — doivent être stabilisées au préalable.</w:t>
      </w:r>
    </w:p>
    <w:p>
      <w:pPr>
        <w:pStyle w:val="Executive"/>
      </w:pPr>
      <w:r>
        <w:t>Décision de départ : auditer avant de migrer ; valider un invariant ciblé avant de généraliser.</w:t>
      </w:r>
    </w:p>
    <w:sectPr w:rsidR="00FC693F" w:rsidRPr="0006063C" w:rsidSect="00034616">
      <w:footerReference w:type="default" r:id="rId9"/>
      <w:pgSz w:w="12240" w:h="15840"/>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7F7F"/>
        <w:sz w:val="16"/>
      </w:rPr>
      <w:t>MIG-GEO-001 — Analyse architecturale préalable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546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397" w:right="170"/>
    </w:pPr>
    <w:rPr>
      <w:rFonts w:ascii="Consolas" w:hAnsi="Consolas"/>
      <w:sz w:val="18"/>
    </w:rPr>
  </w:style>
  <w:style w:type="paragraph" w:customStyle="1" w:styleId="Executive">
    <w:name w:val="Executive"/>
    <w:pPr>
      <w:spacing w:after="160"/>
    </w:pPr>
    <w:rPr>
      <w:rFonts w:ascii="Aptos" w:hAnsi="Aptos"/>
      <w:b/>
      <w:color w:val="1F1F1F"/>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