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ATT-000</w:t>
        <w:br/>
        <w:t>Analyse d’impact et proposition de migration</w:t>
      </w:r>
    </w:p>
    <w:p>
      <w:pPr>
        <w:jc w:val="center"/>
      </w:pPr>
      <w:r>
        <w:rPr>
          <w:b/>
        </w:rPr>
        <w:t>Migration du modèle TopologyAttachment – AssembleurTriangles</w:t>
      </w:r>
    </w:p>
    <w:p/>
    <w:p>
      <w:pPr>
        <w:pStyle w:val="Heading1"/>
      </w:pPr>
      <w:r>
        <w:t>1. Synthèse exécutive</w:t>
      </w:r>
    </w:p>
    <w:p>
      <w:r>
        <w:t>L’audit ATT-000 montre que la migration ne concerne pas uniquement la classe TopologyAttachment. Une chaîne complète s’est construite autour des conventions legacy : couple vertex-vertex + vertex-edge, paramètres t et edgeFrom, mapping edge-edge, EdgeChoiceEpts, calculs de pose répartis entre plusieurs modules, dégroupage dépendant de la paire VV+VE, comparaison de scénarios intégrant des données géométriques résolues et déformation rematérialisant les attachments.</w:t>
      </w:r>
    </w:p>
    <w:p>
      <w:r>
        <w:t>La proposition est donc de remplacer ce modèle par deux attachments métier explicites, associés à des représentations résolues calculées par un Resolver Core unique. Le Core devient l’unique autorité pour la résolution, la pose, le DSU, les coverages et les split points. Les couches TK, AUTO et DEFORM deviennent des clientes du Core.</w:t>
      </w:r>
    </w:p>
    <w:p>
      <w:r>
        <w:t>Compte tenu de l’imbrication du modèle legacy et de l’absence de besoin de compatibilité avec des scénarios historiques, la migration recommandée est une bascule verticale du Core, plutôt qu’une coexistence temporaire de deux modèles d’attachments.</w:t>
      </w:r>
    </w:p>
    <w:p>
      <w:pPr>
        <w:pStyle w:val="Heading1"/>
      </w:pPr>
      <w:r>
        <w:t>2. Architecture cible</w:t>
      </w:r>
    </w:p>
    <w:p>
      <w:r>
        <w:t>Le contrat cible sépare clairement l’intention topologique persistée de sa résolution géométrique runtime.</w:t>
      </w:r>
    </w:p>
    <w:tbl>
      <w:tblPr>
        <w:tblW w:type="auto" w:w="0"/>
        <w:jc w:val="center"/>
        <w:tblLook w:firstColumn="1" w:firstRow="1" w:lastColumn="0" w:lastRow="0" w:noHBand="0" w:noVBand="1" w:val="04A0"/>
      </w:tblPr>
      <w:tblGrid>
        <w:gridCol w:w="9972"/>
      </w:tblGrid>
      <w:tr>
        <w:tc>
          <w:tcPr>
            <w:tcW w:type="dxa" w:w="9972"/>
            <w:vAlign w:val="center"/>
            <w:shd w:fill="F2F2F2"/>
          </w:tcPr>
          <w:p>
            <w:pPr>
              <w:spacing w:after="0"/>
            </w:pPr>
            <w:r>
              <w:rPr>
                <w:rFonts w:ascii="Consolas" w:hAnsi="Consolas"/>
                <w:sz w:val="18"/>
              </w:rPr>
              <w:t>TopologyVertexEdgeAttachment</w:t>
              <w:br/>
            </w:r>
            <w:r>
              <w:rPr>
                <w:rFonts w:ascii="Consolas" w:hAnsi="Consolas"/>
                <w:sz w:val="18"/>
              </w:rPr>
              <w:t>TopologyEdgeEdgeAttachment</w:t>
              <w:br/>
            </w:r>
            <w:r>
              <w:rPr>
                <w:rFonts w:ascii="Consolas" w:hAnsi="Consolas"/>
                <w:sz w:val="18"/>
              </w:rPr>
              <w:t xml:space="preserve">            │</w:t>
              <w:br/>
            </w:r>
            <w:r>
              <w:rPr>
                <w:rFonts w:ascii="Consolas" w:hAnsi="Consolas"/>
                <w:sz w:val="18"/>
              </w:rPr>
              <w:t xml:space="preserve">            ▼</w:t>
              <w:br/>
            </w:r>
            <w:r>
              <w:rPr>
                <w:rFonts w:ascii="Consolas" w:hAnsi="Consolas"/>
                <w:sz w:val="18"/>
              </w:rPr>
              <w:t xml:space="preserve">         Resolver</w:t>
              <w:br/>
            </w:r>
            <w:r>
              <w:rPr>
                <w:rFonts w:ascii="Consolas" w:hAnsi="Consolas"/>
                <w:sz w:val="18"/>
              </w:rPr>
              <w:t xml:space="preserve">            │</w:t>
              <w:br/>
            </w:r>
            <w:r>
              <w:rPr>
                <w:rFonts w:ascii="Consolas" w:hAnsi="Consolas"/>
                <w:sz w:val="18"/>
              </w:rPr>
              <w:t xml:space="preserve">            ▼</w:t>
              <w:br/>
            </w:r>
            <w:r>
              <w:rPr>
                <w:rFonts w:ascii="Consolas" w:hAnsi="Consolas"/>
                <w:sz w:val="18"/>
              </w:rPr>
              <w:t>ResolvedVertexEdgeAttachment</w:t>
              <w:br/>
            </w:r>
            <w:r>
              <w:rPr>
                <w:rFonts w:ascii="Consolas" w:hAnsi="Consolas"/>
                <w:sz w:val="18"/>
              </w:rPr>
              <w:t>ResolvedEdgeEdgeAttachment</w:t>
              <w:br/>
            </w:r>
            <w:r>
              <w:rPr>
                <w:rFonts w:ascii="Consolas" w:hAnsi="Consolas"/>
                <w:sz w:val="18"/>
              </w:rPr>
              <w:t xml:space="preserve">            │</w:t>
              <w:br/>
            </w:r>
            <w:r>
              <w:rPr>
                <w:rFonts w:ascii="Consolas" w:hAnsi="Consolas"/>
                <w:sz w:val="18"/>
              </w:rPr>
              <w:t xml:space="preserve">            ├── DSU</w:t>
              <w:br/>
            </w:r>
            <w:r>
              <w:rPr>
                <w:rFonts w:ascii="Consolas" w:hAnsi="Consolas"/>
                <w:sz w:val="18"/>
              </w:rPr>
              <w:t xml:space="preserve">            ├── pose</w:t>
              <w:br/>
            </w:r>
            <w:r>
              <w:rPr>
                <w:rFonts w:ascii="Consolas" w:hAnsi="Consolas"/>
                <w:sz w:val="18"/>
              </w:rPr>
              <w:t xml:space="preserve">            ├── coverages</w:t>
              <w:br/>
            </w:r>
            <w:r>
              <w:rPr>
                <w:rFonts w:ascii="Consolas" w:hAnsi="Consolas"/>
                <w:sz w:val="18"/>
              </w:rPr>
              <w:t xml:space="preserve">            └── split points</w:t>
            </w:r>
          </w:p>
        </w:tc>
      </w:tr>
    </w:tbl>
    <w:p>
      <w:pPr>
        <w:spacing w:after="40"/>
      </w:pPr>
    </w:p>
    <w:p>
      <w:pPr>
        <w:pStyle w:val="ListBullet"/>
      </w:pPr>
      <w:r>
        <w:t>Les TopologyAttachment persistants décrivent uniquement l’intention métier.</w:t>
      </w:r>
    </w:p>
    <w:p>
      <w:pPr>
        <w:pStyle w:val="ListBullet"/>
      </w:pPr>
      <w:r>
        <w:t>Les ResolvedAttachment contiennent les décisions géométriques dérivées.</w:t>
      </w:r>
    </w:p>
    <w:p>
      <w:pPr>
        <w:pStyle w:val="ListBullet"/>
      </w:pPr>
      <w:r>
        <w:t>Les valeurs t, edgeFrom et mapping ne sont plus persistées comme données métier.</w:t>
      </w:r>
    </w:p>
    <w:p>
      <w:pPr>
        <w:pStyle w:val="ListBullet"/>
      </w:pPr>
      <w:r>
        <w:t>TopologyWorld conserve un cache de résolution invalidable et reconstructible.</w:t>
      </w:r>
    </w:p>
    <w:p>
      <w:pPr>
        <w:pStyle w:val="ListBullet"/>
      </w:pPr>
      <w:r>
        <w:t>Le manuel, AUTO, DEFORM et l’import utilisent le même moteur Core.</w:t>
      </w:r>
    </w:p>
    <w:p>
      <w:pPr>
        <w:pStyle w:val="Heading1"/>
      </w:pPr>
      <w:r>
        <w:t>3. Analyse d’impact par module</w:t>
      </w:r>
    </w:p>
    <w:p>
      <w:pPr>
        <w:pStyle w:val="Heading2"/>
      </w:pPr>
      <w:r>
        <w:t>3.1 assembleur_core.py – cœur de la migration</w:t>
      </w:r>
    </w:p>
    <w:p>
      <w:r>
        <w:t>Le Core actuel repose sur TopologyFeatureRef et un TopologyAttachment générique décrit par kind, feature_a, feature_b et params. Plusieurs chemins interprètent indépendamment les mêmes données legacy : application des attachments, DSU, coverages, split points et pose.</w:t>
      </w:r>
    </w:p>
    <w:p>
      <w:r>
        <w:t>Éléments à supprimer ou remplacer :</w:t>
      </w:r>
    </w:p>
    <w:p>
      <w:pPr>
        <w:pStyle w:val="ListBullet"/>
      </w:pPr>
      <w:r>
        <w:t>TopologyFeatureRef.</w:t>
      </w:r>
    </w:p>
    <w:p>
      <w:pPr>
        <w:pStyle w:val="ListBullet"/>
      </w:pPr>
      <w:r>
        <w:t>TopologyAttachment générique.</w:t>
      </w:r>
    </w:p>
    <w:p>
      <w:pPr>
        <w:pStyle w:val="ListBullet"/>
      </w:pPr>
      <w:r>
        <w:t>Les paramètres persistés t, edgeFrom et mapping.</w:t>
      </w:r>
    </w:p>
    <w:p>
      <w:pPr>
        <w:pStyle w:val="ListBullet"/>
      </w:pPr>
      <w:r>
        <w:t>L’interprétation directe des données brutes dans _apply_attachment_internal().</w:t>
      </w:r>
    </w:p>
    <w:p>
      <w:pPr>
        <w:pStyle w:val="ListBullet"/>
      </w:pPr>
      <w:r>
        <w:t>L’interprétation spécifique des attachments lors du chargement.</w:t>
      </w:r>
    </w:p>
    <w:p>
      <w:pPr>
        <w:pStyle w:val="ListBullet"/>
      </w:pPr>
      <w:r>
        <w:t>Les chemins de pose qui reconstruisent directement la sémantique à partir des paramètres legacy.</w:t>
      </w:r>
    </w:p>
    <w:p>
      <w:r>
        <w:t>Éléments à créer ou refactorer :</w:t>
      </w:r>
    </w:p>
    <w:p>
      <w:pPr>
        <w:pStyle w:val="ListBullet"/>
      </w:pPr>
      <w:r>
        <w:t>TopologyVertexEdgeAttachment.</w:t>
      </w:r>
    </w:p>
    <w:p>
      <w:pPr>
        <w:pStyle w:val="ListBullet"/>
      </w:pPr>
      <w:r>
        <w:t>TopologyEdgeEdgeAttachment.</w:t>
      </w:r>
    </w:p>
    <w:p>
      <w:pPr>
        <w:pStyle w:val="ListBullet"/>
      </w:pPr>
      <w:r>
        <w:t>ResolvedVertexEdgeAttachment.</w:t>
      </w:r>
    </w:p>
    <w:p>
      <w:pPr>
        <w:pStyle w:val="ListBullet"/>
      </w:pPr>
      <w:r>
        <w:t>ResolvedEdgeEdgeAttachment.</w:t>
      </w:r>
    </w:p>
    <w:p>
      <w:pPr>
        <w:pStyle w:val="ListBullet"/>
      </w:pPr>
      <w:r>
        <w:t>Un Resolver Core unique.</w:t>
      </w:r>
    </w:p>
    <w:p>
      <w:pPr>
        <w:pStyle w:val="ListBullet"/>
      </w:pPr>
      <w:r>
        <w:t>Un cache TopologyWorld.resolved_attachments.</w:t>
      </w:r>
    </w:p>
    <w:p>
      <w:pPr>
        <w:pStyle w:val="ListBullet"/>
      </w:pPr>
      <w:r>
        <w:t>Une consommation exclusive des objets résolus par le DSU, la pose, les coverages et les split points.</w:t>
      </w:r>
    </w:p>
    <w:p>
      <w:pPr>
        <w:pStyle w:val="Heading2"/>
      </w:pPr>
      <w:r>
        <w:t>3.2 Dégroupage – simplification structurelle</w:t>
      </w:r>
    </w:p>
    <w:p>
      <w:r>
        <w:t>Le dégroupage actuel connaît explicitement la représentation legacy d’un raccord vertex-edge : un vertex-vertex incident au nœud permet de retrouver une paire de triangles, puis le code recherche le vertex-edge frère et supprime les deux attachments.</w:t>
      </w:r>
    </w:p>
    <w:p>
      <w:r>
        <w:t>Avec TopologyVertexEdgeAttachment, le raccord métier devient atomique : l’attachment contient directement le sommet mobile, son arête, le sommet destination et son arête. Le dégroupage peut donc identifier et supprimer un seul attachment métier.</w:t>
      </w:r>
    </w:p>
    <w:p>
      <w:pPr>
        <w:pStyle w:val="ListBullet"/>
      </w:pPr>
      <w:r>
        <w:t>REPLACE : canDegrouperAtNode() et degrouperAtNode().</w:t>
      </w:r>
    </w:p>
    <w:p>
      <w:pPr>
        <w:pStyle w:val="ListBullet"/>
      </w:pPr>
      <w:r>
        <w:t>DELETE : logique de sibling vertex-vertex / vertex-edge et helpers associés.</w:t>
      </w:r>
    </w:p>
    <w:p>
      <w:pPr>
        <w:pStyle w:val="ListBullet"/>
      </w:pPr>
      <w:r>
        <w:t>KEEP : suppression d’attachments puis rebuild_from_attachments(), calcul des composantes connexes et réaffectation des groupes.</w:t>
      </w:r>
    </w:p>
    <w:p>
      <w:pPr>
        <w:pStyle w:val="Heading2"/>
      </w:pPr>
      <w:r>
        <w:t>3.3 assembleur_edgechoice.py – forte réduction du rôle</w:t>
      </w:r>
    </w:p>
    <w:p>
      <w:r>
        <w:t>EdgeChoiceEpts mélange aujourd’hui données UI, coordonnées, identités, sommets, arêtes, mapping et paramètres de résolution. La matérialisation vertex-edge calcule notamment t_raw, choisit les rôles selon les longueurs et génère le couple VE + VV.</w:t>
      </w:r>
    </w:p>
    <w:p>
      <w:r>
        <w:t>Cette logique doit quitter edgechoice et être absorbée par le Resolver. Le module peut éventuellement rester comme aide à la sélection interactive, mais il ne doit plus produire de géométrie résolue.</w:t>
      </w:r>
    </w:p>
    <w:p>
      <w:pPr>
        <w:pStyle w:val="ListBullet"/>
      </w:pPr>
      <w:r>
        <w:t>DELETE/REPLACE : EdgeChoiceEpts sous sa forme actuelle.</w:t>
      </w:r>
    </w:p>
    <w:p>
      <w:pPr>
        <w:pStyle w:val="ListBullet"/>
      </w:pPr>
      <w:r>
        <w:t>DELETE : computeRigidTransform(), createTopologyAttachments(), _compute_t_by_edge_ratio().</w:t>
      </w:r>
    </w:p>
    <w:p>
      <w:pPr>
        <w:pStyle w:val="ListBullet"/>
      </w:pPr>
      <w:r>
        <w:t>DELETE : materialize_vertex_edge_attachments() et rematerialize_vertex_edge_attachments_for_element().</w:t>
      </w:r>
    </w:p>
    <w:p>
      <w:pPr>
        <w:pStyle w:val="ListBullet"/>
      </w:pPr>
      <w:r>
        <w:t>DELETE : tRaw, mapping et owner_tid utilisés comme données topologiques.</w:t>
      </w:r>
    </w:p>
    <w:p>
      <w:pPr>
        <w:pStyle w:val="ListBullet"/>
      </w:pPr>
      <w:r>
        <w:t>Éventuel KEEP : un objet léger AttachmentCandidate basé uniquement sur ElementID, vertex, edge et kind.</w:t>
      </w:r>
    </w:p>
    <w:p>
      <w:pPr>
        <w:pStyle w:val="Heading2"/>
      </w:pPr>
      <w:r>
        <w:t>3.4 assembleur_tk.py – UI cliente du Core</w:t>
      </w:r>
    </w:p>
    <w:p>
      <w:r>
        <w:t>Le drag manuel réalise encore une partie importante de la décision topologique et géométrique : sélection Boundary, recherche des owners via indices Canvas, construction EdgeChoiceEpts, matérialisation des attachments et simulation d’overlap.</w:t>
      </w:r>
    </w:p>
    <w:p>
      <w:r>
        <w:t>La variable _edge_choice conserve ainsi un objet hybride UI/topologie/géométrie. Cette responsabilité doit disparaître de TK.</w:t>
      </w:r>
    </w:p>
    <w:tbl>
      <w:tblPr>
        <w:tblW w:type="auto" w:w="0"/>
        <w:jc w:val="center"/>
        <w:tblLook w:firstColumn="1" w:firstRow="1" w:lastColumn="0" w:lastRow="0" w:noHBand="0" w:noVBand="1" w:val="04A0"/>
      </w:tblPr>
      <w:tblGrid>
        <w:gridCol w:w="9972"/>
      </w:tblGrid>
      <w:tr>
        <w:tc>
          <w:tcPr>
            <w:tcW w:type="dxa" w:w="9972"/>
            <w:vAlign w:val="center"/>
            <w:shd w:fill="F2F2F2"/>
          </w:tcPr>
          <w:p>
            <w:pPr>
              <w:spacing w:after="0"/>
            </w:pPr>
            <w:r>
              <w:rPr>
                <w:rFonts w:ascii="Consolas" w:hAnsi="Consolas"/>
                <w:sz w:val="18"/>
              </w:rPr>
              <w:t>hit-test / Boundary</w:t>
              <w:br/>
            </w:r>
            <w:r>
              <w:rPr>
                <w:rFonts w:ascii="Consolas" w:hAnsi="Consolas"/>
                <w:sz w:val="18"/>
              </w:rPr>
              <w:t xml:space="preserve">        ↓</w:t>
              <w:br/>
            </w:r>
            <w:r>
              <w:rPr>
                <w:rFonts w:ascii="Consolas" w:hAnsi="Consolas"/>
                <w:sz w:val="18"/>
              </w:rPr>
              <w:t>choix visuel du candidat</w:t>
              <w:br/>
            </w:r>
            <w:r>
              <w:rPr>
                <w:rFonts w:ascii="Consolas" w:hAnsi="Consolas"/>
                <w:sz w:val="18"/>
              </w:rPr>
              <w:t xml:space="preserve">        ↓</w:t>
              <w:br/>
            </w:r>
            <w:r>
              <w:rPr>
                <w:rFonts w:ascii="Consolas" w:hAnsi="Consolas"/>
                <w:sz w:val="18"/>
              </w:rPr>
              <w:t>ElementID + vertex + edge</w:t>
              <w:br/>
            </w:r>
            <w:r>
              <w:rPr>
                <w:rFonts w:ascii="Consolas" w:hAnsi="Consolas"/>
                <w:sz w:val="18"/>
              </w:rPr>
              <w:t xml:space="preserve">        ↓</w:t>
              <w:br/>
            </w:r>
            <w:r>
              <w:rPr>
                <w:rFonts w:ascii="Consolas" w:hAnsi="Consolas"/>
                <w:sz w:val="18"/>
              </w:rPr>
              <w:t>TopologyVertexEdgeAttachment</w:t>
              <w:br/>
            </w:r>
            <w:r>
              <w:rPr>
                <w:rFonts w:ascii="Consolas" w:hAnsi="Consolas"/>
                <w:sz w:val="18"/>
              </w:rPr>
              <w:t>ou TopologyEdgeEdgeAttachment</w:t>
              <w:br/>
            </w:r>
            <w:r>
              <w:rPr>
                <w:rFonts w:ascii="Consolas" w:hAnsi="Consolas"/>
                <w:sz w:val="18"/>
              </w:rPr>
              <w:t xml:space="preserve">        ↓</w:t>
              <w:br/>
            </w:r>
            <w:r>
              <w:rPr>
                <w:rFonts w:ascii="Consolas" w:hAnsi="Consolas"/>
                <w:sz w:val="18"/>
              </w:rPr>
              <w:t>TopologyWorld.simulate / apply</w:t>
            </w:r>
          </w:p>
        </w:tc>
      </w:tr>
    </w:tbl>
    <w:p>
      <w:pPr>
        <w:spacing w:after="40"/>
      </w:pPr>
    </w:p>
    <w:p>
      <w:pPr>
        <w:pStyle w:val="ListBullet"/>
      </w:pPr>
      <w:r>
        <w:t>Supprimer _edge_choice dans sa forme legacy.</w:t>
      </w:r>
    </w:p>
    <w:p>
      <w:pPr>
        <w:pStyle w:val="ListBullet"/>
      </w:pPr>
      <w:r>
        <w:t>Limiter les indices Canvas à la durée du hit-test.</w:t>
      </w:r>
    </w:p>
    <w:p>
      <w:pPr>
        <w:pStyle w:val="ListBullet"/>
      </w:pPr>
      <w:r>
        <w:t>Convertir immédiatement la sélection en identités Core.</w:t>
      </w:r>
    </w:p>
    <w:p>
      <w:pPr>
        <w:pStyle w:val="ListBullet"/>
      </w:pPr>
      <w:r>
        <w:t>Ne plus calculer de pose de raccord dans TK.</w:t>
      </w:r>
    </w:p>
    <w:p>
      <w:pPr>
        <w:pStyle w:val="ListBullet"/>
      </w:pPr>
      <w:r>
        <w:t>Conserver les chemins déjà Core-first pour dégroupage, suppression et reprojection.</w:t>
      </w:r>
    </w:p>
    <w:p>
      <w:pPr>
        <w:pStyle w:val="Heading2"/>
      </w:pPr>
      <w:r>
        <w:t>3.5 assembleur_sim.py – suppression du second moteur d’assemblage</w:t>
      </w:r>
    </w:p>
    <w:p>
      <w:r>
        <w:t>Le simulateur calcule encore lui-même une partie de la géométrie des raccords. createTopoQuadrilateral() détecte les arêtes, ordonne les endpoints et construit EdgeChoiceEpts. Le chaînage AUTO utilise ensuite EdgeChoiceEpts, computeRigidTransform et applique des transformations avant le commit topologique.</w:t>
      </w:r>
    </w:p>
    <w:p>
      <w:r>
        <w:t>La cible est que l’algorithme AUTO choisisse uniquement une intention de raccord. Le Resolver et le moteur de pose Core prennent ensuite la totalité de la décision géométrique.</w:t>
      </w:r>
    </w:p>
    <w:tbl>
      <w:tblPr>
        <w:tblW w:type="auto" w:w="0"/>
        <w:jc w:val="center"/>
        <w:tblLook w:firstColumn="1" w:firstRow="1" w:lastColumn="0" w:lastRow="0" w:noHBand="0" w:noVBand="1" w:val="04A0"/>
      </w:tblPr>
      <w:tblGrid>
        <w:gridCol w:w="9972"/>
      </w:tblGrid>
      <w:tr>
        <w:tc>
          <w:tcPr>
            <w:tcW w:type="dxa" w:w="9972"/>
            <w:vAlign w:val="center"/>
            <w:shd w:fill="F2F2F2"/>
          </w:tcPr>
          <w:p>
            <w:pPr>
              <w:spacing w:after="0"/>
            </w:pPr>
            <w:r>
              <w:rPr>
                <w:rFonts w:ascii="Consolas" w:hAnsi="Consolas"/>
                <w:sz w:val="18"/>
              </w:rPr>
              <w:t>AUTO choisit :</w:t>
              <w:br/>
            </w:r>
            <w:r>
              <w:rPr>
                <w:rFonts w:ascii="Consolas" w:hAnsi="Consolas"/>
                <w:sz w:val="18"/>
              </w:rPr>
              <w:t xml:space="preserve">  mobile element / vertex / edge</w:t>
              <w:br/>
            </w:r>
            <w:r>
              <w:rPr>
                <w:rFonts w:ascii="Consolas" w:hAnsi="Consolas"/>
                <w:sz w:val="18"/>
              </w:rPr>
              <w:t xml:space="preserve">  destination element / vertex / edge</w:t>
              <w:br/>
            </w:r>
            <w:r>
              <w:rPr>
                <w:rFonts w:ascii="Consolas" w:hAnsi="Consolas"/>
                <w:sz w:val="18"/>
              </w:rPr>
              <w:t xml:space="preserve">              ↓</w:t>
              <w:br/>
            </w:r>
            <w:r>
              <w:rPr>
                <w:rFonts w:ascii="Consolas" w:hAnsi="Consolas"/>
                <w:sz w:val="18"/>
              </w:rPr>
              <w:t xml:space="preserve">      TopologyAttachment</w:t>
              <w:br/>
            </w:r>
            <w:r>
              <w:rPr>
                <w:rFonts w:ascii="Consolas" w:hAnsi="Consolas"/>
                <w:sz w:val="18"/>
              </w:rPr>
              <w:t xml:space="preserve">              ↓</w:t>
              <w:br/>
            </w:r>
            <w:r>
              <w:rPr>
                <w:rFonts w:ascii="Consolas" w:hAnsi="Consolas"/>
                <w:sz w:val="18"/>
              </w:rPr>
              <w:t xml:space="preserve">        Core Resolver</w:t>
              <w:br/>
            </w:r>
            <w:r>
              <w:rPr>
                <w:rFonts w:ascii="Consolas" w:hAnsi="Consolas"/>
                <w:sz w:val="18"/>
              </w:rPr>
              <w:t xml:space="preserve">              ↓</w:t>
              <w:br/>
            </w:r>
            <w:r>
              <w:rPr>
                <w:rFonts w:ascii="Consolas" w:hAnsi="Consolas"/>
                <w:sz w:val="18"/>
              </w:rPr>
              <w:t xml:space="preserve">          Core pose</w:t>
              <w:br/>
            </w:r>
            <w:r>
              <w:rPr>
                <w:rFonts w:ascii="Consolas" w:hAnsi="Consolas"/>
                <w:sz w:val="18"/>
              </w:rPr>
              <w:t xml:space="preserve">              ↓</w:t>
              <w:br/>
            </w:r>
            <w:r>
              <w:rPr>
                <w:rFonts w:ascii="Consolas" w:hAnsi="Consolas"/>
                <w:sz w:val="18"/>
              </w:rPr>
              <w:t xml:space="preserve">     Core overlap simulation</w:t>
            </w:r>
          </w:p>
        </w:tc>
      </w:tr>
    </w:tbl>
    <w:p>
      <w:pPr>
        <w:spacing w:after="40"/>
      </w:pPr>
    </w:p>
    <w:p>
      <w:pPr>
        <w:pStyle w:val="ListBullet"/>
      </w:pPr>
      <w:r>
        <w:t>KEEP : exploration combinatoire, branches, essais LO/BL, pruning et clones de TopologyWorld.</w:t>
      </w:r>
    </w:p>
    <w:p>
      <w:pPr>
        <w:pStyle w:val="ListBullet"/>
      </w:pPr>
      <w:r>
        <w:t>DELETE : EdgeChoiceEpts dans le chemin AUTO.</w:t>
      </w:r>
    </w:p>
    <w:p>
      <w:pPr>
        <w:pStyle w:val="ListBullet"/>
      </w:pPr>
      <w:r>
        <w:t>DELETE : mapping et pose parallèle spécifique au simulateur.</w:t>
      </w:r>
    </w:p>
    <w:p>
      <w:pPr>
        <w:pStyle w:val="ListBullet"/>
      </w:pPr>
      <w:r>
        <w:t>DELETE/MOVE : computeRigidTransform pour les raccords topologiques.</w:t>
      </w:r>
    </w:p>
    <w:p>
      <w:pPr>
        <w:pStyle w:val="ListBullet"/>
      </w:pPr>
      <w:r>
        <w:t>Objectif : AUTO et manuel utilisent exactement les mêmes APIs Core.</w:t>
      </w:r>
    </w:p>
    <w:p>
      <w:pPr>
        <w:pStyle w:val="Heading2"/>
      </w:pPr>
      <w:r>
        <w:t>3.6 assembleur_edge_mapping.py</w:t>
      </w:r>
    </w:p>
    <w:p>
      <w:r>
        <w:t>La fonction de choix d’orientation edge-edge contient une logique légitime, mais elle appartient au Resolver. Le mapping direct/reverse est une représentation intermédiaire et ne doit plus être exposé comme donnée métier.</w:t>
      </w:r>
    </w:p>
    <w:p>
      <w:pPr>
        <w:pStyle w:val="ListBullet"/>
      </w:pPr>
      <w:r>
        <w:t>MOVE CORE : choix de correspondance des endpoints edge-edge.</w:t>
      </w:r>
    </w:p>
    <w:p>
      <w:pPr>
        <w:pStyle w:val="ListBullet"/>
      </w:pPr>
      <w:r>
        <w:t>SUPPRIMER comme contrat métier : EdgeEdgePose.mapping.</w:t>
      </w:r>
    </w:p>
    <w:p>
      <w:pPr>
        <w:pStyle w:val="ListBullet"/>
      </w:pPr>
      <w:r>
        <w:t>Conserver éventuellement les helpers mathématiques purs de calcul de pose, sans mapping persistant.</w:t>
      </w:r>
    </w:p>
    <w:p>
      <w:pPr>
        <w:pStyle w:val="Heading2"/>
      </w:pPr>
      <w:r>
        <w:t>3.7 assembleur_deformation.py</w:t>
      </w:r>
    </w:p>
    <w:p>
      <w:r>
        <w:t>DEFORM rematérialise actuellement les vertex-edge attachments après remplacement de la géométrie intrinsèque. Cette étape existe uniquement parce que la géométrie résolue est stockée dans les attachments.</w:t>
      </w:r>
    </w:p>
    <w:tbl>
      <w:tblPr>
        <w:tblW w:type="auto" w:w="0"/>
        <w:jc w:val="center"/>
        <w:tblLook w:firstColumn="1" w:firstRow="1" w:lastColumn="0" w:lastRow="0" w:noHBand="0" w:noVBand="1" w:val="04A0"/>
      </w:tblPr>
      <w:tblGrid>
        <w:gridCol w:w="9972"/>
      </w:tblGrid>
      <w:tr>
        <w:tc>
          <w:tcPr>
            <w:tcW w:type="dxa" w:w="9972"/>
            <w:vAlign w:val="center"/>
            <w:shd w:fill="F2F2F2"/>
          </w:tcPr>
          <w:p>
            <w:pPr>
              <w:spacing w:after="0"/>
            </w:pPr>
            <w:r>
              <w:rPr>
                <w:rFonts w:ascii="Consolas" w:hAnsi="Consolas"/>
                <w:sz w:val="18"/>
              </w:rPr>
              <w:t>replace_element_intrinsic_geometry(element_id)</w:t>
              <w:br/>
            </w:r>
            <w:r>
              <w:rPr>
                <w:rFonts w:ascii="Consolas" w:hAnsi="Consolas"/>
                <w:sz w:val="18"/>
              </w:rPr>
              <w:t xml:space="preserve">              ↓</w:t>
              <w:br/>
            </w:r>
            <w:r>
              <w:rPr>
                <w:rFonts w:ascii="Consolas" w:hAnsi="Consolas"/>
                <w:sz w:val="18"/>
              </w:rPr>
              <w:t>invalidateResolvedForElement(element_id)</w:t>
              <w:br/>
            </w:r>
            <w:r>
              <w:rPr>
                <w:rFonts w:ascii="Consolas" w:hAnsi="Consolas"/>
                <w:sz w:val="18"/>
              </w:rPr>
              <w:t xml:space="preserve">              ↓</w:t>
              <w:br/>
            </w:r>
            <w:r>
              <w:rPr>
                <w:rFonts w:ascii="Consolas" w:hAnsi="Consolas"/>
                <w:sz w:val="18"/>
              </w:rPr>
              <w:t xml:space="preserve">       rebuild / replay</w:t>
              <w:br/>
            </w:r>
            <w:r>
              <w:rPr>
                <w:rFonts w:ascii="Consolas" w:hAnsi="Consolas"/>
                <w:sz w:val="18"/>
              </w:rPr>
              <w:t xml:space="preserve">              ↓</w:t>
              <w:br/>
            </w:r>
            <w:r>
              <w:rPr>
                <w:rFonts w:ascii="Consolas" w:hAnsi="Consolas"/>
                <w:sz w:val="18"/>
              </w:rPr>
              <w:t xml:space="preserve">        Resolver lazy</w:t>
            </w:r>
          </w:p>
        </w:tc>
      </w:tr>
    </w:tbl>
    <w:p>
      <w:pPr>
        <w:spacing w:after="40"/>
      </w:pPr>
    </w:p>
    <w:p>
      <w:pPr>
        <w:pStyle w:val="ListBullet"/>
      </w:pPr>
      <w:r>
        <w:t>DELETE : rematerialize_vertex_edge_attachments_for_element().</w:t>
      </w:r>
    </w:p>
    <w:p>
      <w:pPr>
        <w:pStyle w:val="ListBullet"/>
      </w:pPr>
      <w:r>
        <w:t>KEEP : clonePhysicalState(), remplacement de géométrie intrinsèque, rebuild/replay, contrôles de contour et ancrage.</w:t>
      </w:r>
    </w:p>
    <w:p>
      <w:pPr>
        <w:pStyle w:val="Heading2"/>
      </w:pPr>
      <w:r>
        <w:t>3.8 assembleur_topology_comparison.py</w:t>
      </w:r>
    </w:p>
    <w:p>
      <w:r>
        <w:t>La comparaison actuelle inclut mapping pour edge-edge et edgeFrom/t pour vertex-edge. Elle mélange donc intention topologique et résultat géométrique résolu.</w:t>
      </w:r>
    </w:p>
    <w:p>
      <w:r>
        <w:t>La nouvelle comparaison doit porter exclusivement sur les champs persistants :</w:t>
      </w:r>
    </w:p>
    <w:tbl>
      <w:tblPr>
        <w:tblW w:type="auto" w:w="0"/>
        <w:jc w:val="center"/>
        <w:tblLook w:firstColumn="1" w:firstRow="1" w:lastColumn="0" w:lastRow="0" w:noHBand="0" w:noVBand="1" w:val="04A0"/>
      </w:tblPr>
      <w:tblGrid>
        <w:gridCol w:w="9972"/>
      </w:tblGrid>
      <w:tr>
        <w:tc>
          <w:tcPr>
            <w:tcW w:type="dxa" w:w="9972"/>
            <w:vAlign w:val="center"/>
            <w:shd w:fill="F2F2F2"/>
          </w:tcPr>
          <w:p>
            <w:pPr>
              <w:spacing w:after="0"/>
            </w:pPr>
            <w:r>
              <w:rPr>
                <w:rFonts w:ascii="Consolas" w:hAnsi="Consolas"/>
                <w:sz w:val="18"/>
              </w:rPr>
              <w:t>Vertex-Edge :</w:t>
              <w:br/>
            </w:r>
            <w:r>
              <w:rPr>
                <w:rFonts w:ascii="Consolas" w:hAnsi="Consolas"/>
                <w:sz w:val="18"/>
              </w:rPr>
              <w:t xml:space="preserve">  mobElement / mobVertex / mobEdge</w:t>
              <w:br/>
            </w:r>
            <w:r>
              <w:rPr>
                <w:rFonts w:ascii="Consolas" w:hAnsi="Consolas"/>
                <w:sz w:val="18"/>
              </w:rPr>
              <w:t xml:space="preserve">  destElement / destVertex / destEdge</w:t>
              <w:br/>
            </w:r>
            <w:r>
              <w:rPr>
                <w:rFonts w:ascii="Consolas" w:hAnsi="Consolas"/>
                <w:sz w:val="18"/>
              </w:rPr>
              <w:br/>
            </w:r>
            <w:r>
              <w:rPr>
                <w:rFonts w:ascii="Consolas" w:hAnsi="Consolas"/>
                <w:sz w:val="18"/>
              </w:rPr>
              <w:t>Edge-Edge :</w:t>
              <w:br/>
            </w:r>
            <w:r>
              <w:rPr>
                <w:rFonts w:ascii="Consolas" w:hAnsi="Consolas"/>
                <w:sz w:val="18"/>
              </w:rPr>
              <w:t xml:space="preserve">  mobElement / mobEdge</w:t>
              <w:br/>
            </w:r>
            <w:r>
              <w:rPr>
                <w:rFonts w:ascii="Consolas" w:hAnsi="Consolas"/>
                <w:sz w:val="18"/>
              </w:rPr>
              <w:t xml:space="preserve">  destElement / destEdge</w:t>
            </w:r>
          </w:p>
        </w:tc>
      </w:tr>
    </w:tbl>
    <w:p>
      <w:pPr>
        <w:spacing w:after="40"/>
      </w:pPr>
    </w:p>
    <w:p>
      <w:r>
        <w:t>Un ResolvedAttachment ne doit jamais participer à l’identité sémantique d’un scénario.</w:t>
      </w:r>
    </w:p>
    <w:p>
      <w:pPr>
        <w:pStyle w:val="Heading2"/>
      </w:pPr>
      <w:r>
        <w:t>3.9 assembleur_io.py – persistance</w:t>
      </w:r>
    </w:p>
    <w:p>
      <w:r>
        <w:t>La persistance de scénario est déjà orientée Core-only : TopologyWorld est sauvegardé et la projection Canvas est reconstruite après chargement. En revanche, le snapshot physique sérialise encore la structure legacy des attachments et l’import possède son propre chemin d’interprétation.</w:t>
      </w:r>
    </w:p>
    <w:p>
      <w:pPr>
        <w:pStyle w:val="ListBullet"/>
      </w:pPr>
      <w:r>
        <w:t>Remplacer la sérialisation feature_a / feature_b / params par les deux nouvelles classes d’attachments.</w:t>
      </w:r>
    </w:p>
    <w:p>
      <w:pPr>
        <w:pStyle w:val="ListBullet"/>
      </w:pPr>
      <w:r>
        <w:t>Ne jamais sérialiser les ResolvedAttachment.</w:t>
      </w:r>
    </w:p>
    <w:p>
      <w:pPr>
        <w:pStyle w:val="ListBullet"/>
      </w:pPr>
      <w:r>
        <w:t>Après désérialisation : validation structurelle, enregistrement, puis rebuild_from_attachments().</w:t>
      </w:r>
    </w:p>
    <w:p>
      <w:pPr>
        <w:pStyle w:val="ListBullet"/>
      </w:pPr>
      <w:r>
        <w:t>Supprimer la dualité entre moteur runtime et moteur spécial de chargement des attachments.</w:t>
      </w:r>
    </w:p>
    <w:p>
      <w:pPr>
        <w:pStyle w:val="Heading1"/>
      </w:pPr>
      <w:r>
        <w:t>4. Proposition de migration</w:t>
      </w:r>
    </w:p>
    <w:p>
      <w:pPr>
        <w:pStyle w:val="Heading2"/>
      </w:pPr>
      <w:r>
        <w:t>ATT-001 – Nouveau contrat Core + purge du modèle legacy</w:t>
      </w:r>
    </w:p>
    <w:p>
      <w:pPr>
        <w:pStyle w:val="ListBullet"/>
      </w:pPr>
      <w:r>
        <w:t>Créer les quatre classes : deux attachments persistants et deux attachments résolus.</w:t>
      </w:r>
    </w:p>
    <w:p>
      <w:pPr>
        <w:pStyle w:val="ListBullet"/>
      </w:pPr>
      <w:r>
        <w:t>Créer le Resolver et le cache de résolution.</w:t>
      </w:r>
    </w:p>
    <w:p>
      <w:pPr>
        <w:pStyle w:val="ListBullet"/>
      </w:pPr>
      <w:r>
        <w:t>Remplacer TopologyFeatureRef / TopologyAttachment générique dans le Core.</w:t>
      </w:r>
    </w:p>
    <w:p>
      <w:pPr>
        <w:pStyle w:val="ListBullet"/>
      </w:pPr>
      <w:r>
        <w:t>Accepter temporairement de casser les producteurs externes plutôt que maintenir deux modèles.</w:t>
      </w:r>
    </w:p>
    <w:p>
      <w:pPr>
        <w:pStyle w:val="Heading2"/>
      </w:pPr>
      <w:r>
        <w:t>ATT-002 – Reconstruction Core complète</w:t>
      </w:r>
    </w:p>
    <w:p>
      <w:pPr>
        <w:pStyle w:val="ListBullet"/>
      </w:pPr>
      <w:r>
        <w:t>Basculer apply_attachment et rebuild_from_attachments.</w:t>
      </w:r>
    </w:p>
    <w:p>
      <w:pPr>
        <w:pStyle w:val="ListBullet"/>
      </w:pPr>
      <w:r>
        <w:t>Basculer DSU, coverages et split points vers les ResolvedAttachment.</w:t>
      </w:r>
    </w:p>
    <w:p>
      <w:pPr>
        <w:pStyle w:val="ListBullet"/>
      </w:pPr>
      <w:r>
        <w:t>Basculer pose et replay vers le Resolver.</w:t>
      </w:r>
    </w:p>
    <w:p>
      <w:pPr>
        <w:pStyle w:val="ListBullet"/>
      </w:pPr>
      <w:r>
        <w:t>Migrer le dégroupage vers les nouveaux attachments atomiques.</w:t>
      </w:r>
    </w:p>
    <w:p>
      <w:pPr>
        <w:pStyle w:val="ListBullet"/>
      </w:pPr>
      <w:r>
        <w:t>Checkpoint : le moteur Core pur doit être démontré avant de reconnecter l’UI.</w:t>
      </w:r>
    </w:p>
    <w:p>
      <w:pPr>
        <w:pStyle w:val="Heading2"/>
      </w:pPr>
      <w:r>
        <w:t>ATT-003 – Manuel / TK</w:t>
      </w:r>
    </w:p>
    <w:p>
      <w:pPr>
        <w:pStyle w:val="ListBullet"/>
      </w:pPr>
      <w:r>
        <w:t>Supprimer _edge_choice legacy et EdgeChoiceEpts du chemin manuel.</w:t>
      </w:r>
    </w:p>
    <w:p>
      <w:pPr>
        <w:pStyle w:val="ListBullet"/>
      </w:pPr>
      <w:r>
        <w:t>Faire produire à TK uniquement une intention par ElementID/vertex/edge.</w:t>
      </w:r>
    </w:p>
    <w:p>
      <w:pPr>
        <w:pStyle w:val="ListBullet"/>
      </w:pPr>
      <w:r>
        <w:t>Valider groupage, anti-overlap, drop, dégroupage et suppression avec les APIs Core.</w:t>
      </w:r>
    </w:p>
    <w:p>
      <w:pPr>
        <w:pStyle w:val="Heading2"/>
      </w:pPr>
      <w:r>
        <w:t>ATT-004 – AUTO</w:t>
      </w:r>
    </w:p>
    <w:p>
      <w:pPr>
        <w:pStyle w:val="ListBullet"/>
      </w:pPr>
      <w:r>
        <w:t>Supprimer EdgeChoiceEpts, mapping et pose parallèle du simulateur.</w:t>
      </w:r>
    </w:p>
    <w:p>
      <w:pPr>
        <w:pStyle w:val="ListBullet"/>
      </w:pPr>
      <w:r>
        <w:t>Faire utiliser au moteur AUTO exactement les mêmes APIs Core que le manuel.</w:t>
      </w:r>
    </w:p>
    <w:p>
      <w:pPr>
        <w:pStyle w:val="ListBullet"/>
      </w:pPr>
      <w:r>
        <w:t>Conserver uniquement l’exploration des candidats, les branches et le pruning.</w:t>
      </w:r>
    </w:p>
    <w:p>
      <w:pPr>
        <w:pStyle w:val="Heading2"/>
      </w:pPr>
      <w:r>
        <w:t>ATT-005 – Persistance, comparaison, DEFORM et nettoyage</w:t>
      </w:r>
    </w:p>
    <w:p>
      <w:pPr>
        <w:pStyle w:val="ListBullet"/>
      </w:pPr>
      <w:r>
        <w:t>Migrer snapshot/XML.</w:t>
      </w:r>
    </w:p>
    <w:p>
      <w:pPr>
        <w:pStyle w:val="ListBullet"/>
      </w:pPr>
      <w:r>
        <w:t>Migrer assembleur_topology_comparison.</w:t>
      </w:r>
    </w:p>
    <w:p>
      <w:pPr>
        <w:pStyle w:val="ListBullet"/>
      </w:pPr>
      <w:r>
        <w:t>Simplifier DEFORM via invalidation du cache résolu.</w:t>
      </w:r>
    </w:p>
    <w:p>
      <w:pPr>
        <w:pStyle w:val="ListBullet"/>
      </w:pPr>
      <w:r>
        <w:t>Supprimer les derniers helpers, paramètres et chemins legacy.</w:t>
      </w:r>
    </w:p>
    <w:p>
      <w:pPr>
        <w:pStyle w:val="ListBullet"/>
      </w:pPr>
      <w:r>
        <w:t>Effectuer une recherche globale finale sur t, edgeFrom, mapping, TopologyFeatureRef et EdgeChoiceEpts.</w:t>
      </w:r>
    </w:p>
    <w:p>
      <w:pPr>
        <w:pStyle w:val="Heading1"/>
      </w:pPr>
      <w:r>
        <w:t>5. Décision d’architecture</w:t>
      </w:r>
    </w:p>
    <w:p>
      <w:r>
        <w:t>ATT-001 ne doit pas être traité comme une migration additive avec coexistence prolongée des anciens et nouveaux attachments. L’imbrication de VV/VE/t/mapping créerait immédiatement un Core à deux modèles, des convertisseurs et des chemins de compatibilité qui augmenteraient fortement le risque de divergence.</w:t>
      </w:r>
    </w:p>
    <w:p>
      <w:r>
        <w:rPr>
          <w:b/>
        </w:rPr>
        <w:t>Décision proposée : effectuer une bascule verticale du Core — nouveau modèle → Resolver → rebuild → pose → dégroupage — puis reconnecter successivement TK, AUTO, persistance et DEFORM.</w:t>
      </w:r>
    </w:p>
    <w:p>
      <w:pPr>
        <w:pStyle w:val="Heading1"/>
      </w:pPr>
      <w:r>
        <w:t>6. Critères de réussite de la migration ATT-000 → ATT-005</w:t>
      </w:r>
    </w:p>
    <w:p>
      <w:pPr>
        <w:pStyle w:val="ListBullet"/>
      </w:pPr>
      <w:r>
        <w:t>Une seule représentation persistante de l’intention topologique.</w:t>
      </w:r>
    </w:p>
    <w:p>
      <w:pPr>
        <w:pStyle w:val="ListBullet"/>
      </w:pPr>
      <w:r>
        <w:t>Aucune persistance de t, edgeFrom ou mapping.</w:t>
      </w:r>
    </w:p>
    <w:p>
      <w:pPr>
        <w:pStyle w:val="ListBullet"/>
      </w:pPr>
      <w:r>
        <w:t>Un seul Resolver utilisé par manuel, AUTO, DEFORM et reload.</w:t>
      </w:r>
    </w:p>
    <w:p>
      <w:pPr>
        <w:pStyle w:val="ListBullet"/>
      </w:pPr>
      <w:r>
        <w:t>Une seule mécanique de pose des raccords dans le Core.</w:t>
      </w:r>
    </w:p>
    <w:p>
      <w:pPr>
        <w:pStyle w:val="ListBullet"/>
      </w:pPr>
      <w:r>
        <w:t>Aucune logique de rematérialisation des attachments après déformation.</w:t>
      </w:r>
    </w:p>
    <w:p>
      <w:pPr>
        <w:pStyle w:val="ListBullet"/>
      </w:pPr>
      <w:r>
        <w:t>Le dégroupage manipule des attachments métier atomiques.</w:t>
      </w:r>
    </w:p>
    <w:p>
      <w:pPr>
        <w:pStyle w:val="ListBullet"/>
      </w:pPr>
      <w:r>
        <w:t>La comparaison de scénarios est purement topologique.</w:t>
      </w:r>
    </w:p>
    <w:p>
      <w:pPr>
        <w:pStyle w:val="ListBullet"/>
      </w:pPr>
      <w:r>
        <w:t>Les caches de projection et de résolution sont reconstruisibles et ne deviennent jamais source de vérité.</w:t>
      </w:r>
    </w:p>
    <w:p>
      <w:pPr>
        <w:pStyle w:val="Heading1"/>
      </w:pPr>
      <w:r>
        <w:t>7. Conclusion</w:t>
      </w:r>
    </w:p>
    <w:p>
      <w:r>
        <w:t>L’analyse ATT-000 confirme que la migration doit être conduite comme une réarchitecture du contrat d’attachment et de sa résolution, et non comme un simple remplacement de structure de données. Le point central est la création d’un Resolver Core unique, qui élimine les décisions géométriques dupliquées dans edgechoice, TK, AUTO, l’import et DEFORM.</w:t>
      </w:r>
    </w:p>
    <w:p>
      <w:r>
        <w:t>Le découpage ATT-001 à ATT-005 permet de sécuriser cette transformation par couches : d’abord rendre le Core autonome et cohérent, puis reconnecter les consommateurs. Cette approche accepte une phase temporairement cassante entre commits, mais réduit fortement la dette de compatibilité et garantit l’objectif architectural final : TopologyWorld comme source de vérité et toutes les autres couches comme clientes ou caches reconstructibles.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