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ASSEMBLEUR TRIANGLES</w:t>
      </w:r>
    </w:p>
    <w:p>
      <w:pPr>
        <w:pStyle w:val="Title"/>
        <w:jc w:val="center"/>
      </w:pPr>
      <w:r>
        <w:t>Attachments &amp; Resolved Attachments</w:t>
      </w:r>
    </w:p>
    <w:p>
      <w:pPr>
        <w:jc w:val="center"/>
      </w:pPr>
      <w:r>
        <w:rPr>
          <w:b/>
          <w:sz w:val="28"/>
        </w:rPr>
        <w:t>Spécification détaillée du modèle Core</w:t>
      </w:r>
    </w:p>
    <w:p/>
    <w:p>
      <w:pPr>
        <w:jc w:val="center"/>
      </w:pPr>
      <w:r>
        <w:t>Référence de conception pour la migration du système d’attachments</w:t>
        <w:br/>
      </w:r>
      <w:r>
        <w:rPr>
          <w:i/>
        </w:rPr>
        <w:t>Version 1.0 — 14 août 2026</w:t>
      </w:r>
    </w:p>
    <w:p/>
    <w:tbl>
      <w:tblPr>
        <w:tblStyle w:val="TableGrid"/>
        <w:tblW w:type="auto" w:w="0"/>
        <w:jc w:val="center"/>
        <w:tblLook w:firstColumn="1" w:firstRow="1" w:lastColumn="0" w:lastRow="0" w:noHBand="0" w:noVBand="1" w:val="04A0"/>
      </w:tblPr>
      <w:tblGrid>
        <w:gridCol w:w="4986"/>
        <w:gridCol w:w="4986"/>
      </w:tblGrid>
      <w:tr>
        <w:tc>
          <w:tcPr>
            <w:tcW w:type="dxa" w:w="2268"/>
            <w:shd w:fill="D9E2F3"/>
            <w:vAlign w:val="center"/>
          </w:tcPr>
          <w:p>
            <w:r>
              <w:rPr>
                <w:b/>
              </w:rPr>
              <w:t>Statut</w:t>
            </w:r>
          </w:p>
        </w:tc>
        <w:tc>
          <w:tcPr>
            <w:tcW w:type="dxa" w:w="6803"/>
            <w:shd w:fill="D9E2F3"/>
            <w:vAlign w:val="center"/>
          </w:tcPr>
          <w:p>
            <w:r>
              <w:rPr>
                <w:b/>
              </w:rPr>
              <w:t>Décision</w:t>
            </w:r>
          </w:p>
        </w:tc>
      </w:tr>
      <w:tr>
        <w:tc>
          <w:tcPr>
            <w:tcW w:type="dxa" w:w="2268"/>
            <w:vAlign w:val="top"/>
          </w:tcPr>
          <w:p>
            <w:r>
              <w:t>Périmètre</w:t>
            </w:r>
          </w:p>
        </w:tc>
        <w:tc>
          <w:tcPr>
            <w:tcW w:type="dxa" w:w="6803"/>
            <w:vAlign w:val="top"/>
          </w:tcPr>
          <w:p>
            <w:r>
              <w:t>Core topologique : attachments vertex-edge et edge-edge, résolution, cache et structures dérivées.</w:t>
            </w:r>
          </w:p>
        </w:tc>
      </w:tr>
      <w:tr>
        <w:tc>
          <w:tcPr>
            <w:tcW w:type="dxa" w:w="2268"/>
            <w:vAlign w:val="top"/>
          </w:tcPr>
          <w:p>
            <w:r>
              <w:t>Compatibilité legacy</w:t>
            </w:r>
          </w:p>
        </w:tc>
        <w:tc>
          <w:tcPr>
            <w:tcW w:type="dxa" w:w="6803"/>
            <w:vAlign w:val="top"/>
          </w:tcPr>
          <w:p>
            <w:r>
              <w:t>Aucune branche parallèle requise : aucun scénario existant à migrer.</w:t>
            </w:r>
          </w:p>
        </w:tc>
      </w:tr>
      <w:tr>
        <w:tc>
          <w:tcPr>
            <w:tcW w:type="dxa" w:w="2268"/>
            <w:vAlign w:val="top"/>
          </w:tcPr>
          <w:p>
            <w:r>
              <w:t>Principe directeur</w:t>
            </w:r>
          </w:p>
        </w:tc>
        <w:tc>
          <w:tcPr>
            <w:tcW w:type="dxa" w:w="6803"/>
            <w:vAlign w:val="top"/>
          </w:tcPr>
          <w:p>
            <w:r>
              <w:t>La topologie définit la nature de la relation ; la géométrie ne peut jamais la requalifier.</w:t>
            </w:r>
          </w:p>
        </w:tc>
      </w:tr>
    </w:tbl>
    <w:p/>
    <w:p>
      <w:r>
        <w:br w:type="page"/>
      </w:r>
    </w:p>
    <w:p>
      <w:pPr>
        <w:pStyle w:val="Heading1"/>
      </w:pPr>
      <w:r>
        <w:t>1. Objet et contexte</w:t>
      </w:r>
    </w:p>
    <w:p>
      <w:r>
        <w:t>Cette spécification formalise la refonte du modèle d’attachments du Core. Elle est née du chantier DEFORM : la déformation d’un triangle a mis en évidence qu’un vertex-edge dépendait d’un paramètre géométrique stocké dans l’attachment (t / edgeFrom), alors que ce paramètre doit être recalculé à partir de la géométrie intrinsèque courante.</w:t>
      </w:r>
    </w:p>
    <w:p>
      <w:r>
        <w:t>Le problème conceptuel identifié est plus large : l’ancien modèle séparait vertex-vertex et vertex-edge alors que, pour un raccord vertex-edge, les deux informations forment ensemble une seule relation métier. Le nouveau modèle supprime cette séparation et introduit une couche explicite de résolution.</w:t>
      </w:r>
    </w:p>
    <w:p>
      <w:pPr>
        <w:pStyle w:val="Heading1"/>
      </w:pPr>
      <w:r>
        <w:t>2. Principes architecturaux figés</w:t>
      </w:r>
    </w:p>
    <w:p>
      <w:pPr>
        <w:pStyle w:val="ListBullet"/>
      </w:pPr>
      <w:r>
        <w:t>Un TopologyAttachment décrit une intention topologique persistante et stable.</w:t>
      </w:r>
    </w:p>
    <w:p>
      <w:pPr>
        <w:pStyle w:val="ListBullet"/>
      </w:pPr>
      <w:r>
        <w:t>Un ResolvedAttachment décrit la conséquence résolue de cette intention avec la géométrie intrinsèque courante.</w:t>
      </w:r>
    </w:p>
    <w:p>
      <w:pPr>
        <w:pStyle w:val="ListBullet"/>
      </w:pPr>
      <w:r>
        <w:t>Le type topologique est décidé à la création de l’attachment et ne peut jamais être requalifié par la géométrie.</w:t>
      </w:r>
    </w:p>
    <w:p>
      <w:pPr>
        <w:pStyle w:val="ListBullet"/>
      </w:pPr>
      <w:r>
        <w:t>Seul le Resolver interprète un TopologyAttachment brut.</w:t>
      </w:r>
    </w:p>
    <w:p>
      <w:pPr>
        <w:pStyle w:val="ListBullet"/>
      </w:pPr>
      <w:r>
        <w:t>Tous les consommateurs Core utilisent les ResolvedAttachment et ne réinterprètent jamais t, edgeFrom, direct/reverse, short/long ou une logique équivalente.</w:t>
      </w:r>
    </w:p>
    <w:p>
      <w:pPr>
        <w:pStyle w:val="ListBullet"/>
      </w:pPr>
      <w:r>
        <w:t>Les attachments sont immuables : pour changer un raccord, on supprime l’attachment puis on en crée un nouveau.</w:t>
      </w:r>
    </w:p>
    <w:p>
      <w:pPr>
        <w:pStyle w:val="ListBullet"/>
      </w:pPr>
      <w:r>
        <w:t>Les ResolvedAttachment sont dérivés, immuables, non persistés et mis en cache dans TopologyWorld.</w:t>
      </w:r>
    </w:p>
    <w:p>
      <w:pPr>
        <w:pStyle w:val="ListBullet"/>
      </w:pPr>
      <w:r>
        <w:t>La pose monde n’est jamais stockée dans un ResolvedAttachment.</w:t>
      </w:r>
    </w:p>
    <w:p>
      <w:pPr>
        <w:pStyle w:val="ListBullet"/>
      </w:pPr>
      <w:r>
        <w:t>Les Concept Nodes, coverages, split points et boundaries sont des structures dérivées ; leurs identifiants/objets ne sont pas stockés dans les attachments ou resolved.</w:t>
      </w:r>
    </w:p>
    <w:p>
      <w:pPr>
        <w:pStyle w:val="ListBullet"/>
      </w:pPr>
      <w:r>
        <w:t>La validation structurelle intervient avant l’entrée de l’attachment dans TopologyWorld ; le Resolver traite la résolution, pas les incohérences structurelles.</w:t>
      </w:r>
    </w:p>
    <w:p>
      <w:pPr>
        <w:pStyle w:val="ListBullet"/>
      </w:pPr>
      <w:r>
        <w:t>Une impossibilité de résolution est une erreur explicite ; pas de valid=False, resolved=None ou fallback silencieux.</w:t>
      </w:r>
    </w:p>
    <w:p>
      <w:pPr>
        <w:pStyle w:val="ListBullet"/>
      </w:pPr>
      <w:r>
        <w:t>Pas de try/except générique destiné à masquer un bug de programmation.</w:t>
      </w:r>
    </w:p>
    <w:p>
      <w:pPr>
        <w:pStyle w:val="Heading1"/>
      </w:pPr>
      <w:r>
        <w:t>3. Vocabulaire</w:t>
      </w:r>
    </w:p>
    <w:tbl>
      <w:tblPr>
        <w:tblStyle w:val="TableGrid"/>
        <w:tblW w:type="auto" w:w="0"/>
        <w:jc w:val="center"/>
        <w:tblLook w:firstColumn="1" w:firstRow="1" w:lastColumn="0" w:lastRow="0" w:noHBand="0" w:noVBand="1" w:val="04A0"/>
      </w:tblPr>
      <w:tblGrid>
        <w:gridCol w:w="4986"/>
        <w:gridCol w:w="4986"/>
      </w:tblGrid>
      <w:tr>
        <w:tc>
          <w:tcPr>
            <w:tcW w:type="dxa" w:w="4986"/>
            <w:shd w:fill="D9E2F3"/>
            <w:vAlign w:val="center"/>
          </w:tcPr>
          <w:p>
            <w:r>
              <w:rPr>
                <w:b/>
              </w:rPr>
              <w:t>Terme</w:t>
            </w:r>
          </w:p>
        </w:tc>
        <w:tc>
          <w:tcPr>
            <w:tcW w:type="dxa" w:w="4986"/>
            <w:shd w:fill="D9E2F3"/>
            <w:vAlign w:val="center"/>
          </w:tcPr>
          <w:p>
            <w:r>
              <w:rPr>
                <w:b/>
              </w:rPr>
              <w:t>Définition</w:t>
            </w:r>
          </w:p>
        </w:tc>
      </w:tr>
      <w:tr>
        <w:tc>
          <w:tcPr>
            <w:tcW w:type="dxa" w:w="4986"/>
            <w:vAlign w:val="top"/>
          </w:tcPr>
          <w:p>
            <w:r>
              <w:t>mob</w:t>
            </w:r>
          </w:p>
        </w:tc>
        <w:tc>
          <w:tcPr>
            <w:tcW w:type="dxa" w:w="4986"/>
            <w:vAlign w:val="top"/>
          </w:tcPr>
          <w:p>
            <w:r>
              <w:t>Élément mobile dans le sens de l’opération d’attachment. Le terme est conservé pour la lisibilité du code.</w:t>
            </w:r>
          </w:p>
        </w:tc>
      </w:tr>
      <w:tr>
        <w:tc>
          <w:tcPr>
            <w:tcW w:type="dxa" w:w="4986"/>
            <w:vAlign w:val="top"/>
          </w:tcPr>
          <w:p>
            <w:r>
              <w:t>dest</w:t>
            </w:r>
          </w:p>
        </w:tc>
        <w:tc>
          <w:tcPr>
            <w:tcW w:type="dxa" w:w="4986"/>
            <w:vAlign w:val="top"/>
          </w:tcPr>
          <w:p>
            <w:r>
              <w:t>Élément destination dans le sens de l’opération d’attachment.</w:t>
            </w:r>
          </w:p>
        </w:tc>
      </w:tr>
      <w:tr>
        <w:tc>
          <w:tcPr>
            <w:tcW w:type="dxa" w:w="4986"/>
            <w:vAlign w:val="top"/>
          </w:tcPr>
          <w:p>
            <w:r>
              <w:t>anchor</w:t>
            </w:r>
          </w:p>
        </w:tc>
        <w:tc>
          <w:tcPr>
            <w:tcW w:type="dxa" w:w="4986"/>
            <w:vAlign w:val="top"/>
          </w:tcPr>
          <w:p>
            <w:r>
              <w:t>Couple de sommets explicitement mis en correspondance dans un vertex-edge.</w:t>
            </w:r>
          </w:p>
        </w:tc>
      </w:tr>
      <w:tr>
        <w:tc>
          <w:tcPr>
            <w:tcW w:type="dxa" w:w="4986"/>
            <w:vAlign w:val="top"/>
          </w:tcPr>
          <w:p>
            <w:r>
              <w:t>position_from_anchor</w:t>
            </w:r>
          </w:p>
        </w:tc>
        <w:tc>
          <w:tcPr>
            <w:tcW w:type="dxa" w:w="4986"/>
            <w:vAlign w:val="top"/>
          </w:tcPr>
          <w:p>
            <w:r>
              <w:t>Position normalisée du vertex sur l’edge porteur, mesurée explicitement depuis edge_anchor_vertex. Remplace le t ambigu.</w:t>
            </w:r>
          </w:p>
        </w:tc>
      </w:tr>
      <w:tr>
        <w:tc>
          <w:tcPr>
            <w:tcW w:type="dxa" w:w="4986"/>
            <w:vAlign w:val="top"/>
          </w:tcPr>
          <w:p>
            <w:r>
              <w:t>géométrie intrinsèque</w:t>
            </w:r>
          </w:p>
        </w:tc>
        <w:tc>
          <w:tcPr>
            <w:tcW w:type="dxa" w:w="4986"/>
            <w:vAlign w:val="top"/>
          </w:tcPr>
          <w:p>
            <w:r>
              <w:t>Forme propre d’un TopologyElement : coordonnées/longueurs locales indépendantes de sa pose dans le monde.</w:t>
            </w:r>
          </w:p>
        </w:tc>
      </w:tr>
      <w:tr>
        <w:tc>
          <w:tcPr>
            <w:tcW w:type="dxa" w:w="4986"/>
            <w:vAlign w:val="top"/>
          </w:tcPr>
          <w:p>
            <w:r>
              <w:t>pose</w:t>
            </w:r>
          </w:p>
        </w:tc>
        <w:tc>
          <w:tcPr>
            <w:tcW w:type="dxa" w:w="4986"/>
            <w:vAlign w:val="top"/>
          </w:tcPr>
          <w:p>
            <w:r>
              <w:t>Transformation monde utilisée pour placer un élément ou un groupe. Elle n’appartient pas au resolved.</w:t>
            </w:r>
          </w:p>
        </w:tc>
      </w:tr>
    </w:tbl>
    <w:p/>
    <w:p>
      <w:pPr>
        <w:pStyle w:val="Heading1"/>
      </w:pPr>
      <w:r>
        <w:t>4. Modèles persistants</w:t>
      </w:r>
    </w:p>
    <w:p>
      <w:pPr>
        <w:pStyle w:val="Heading2"/>
      </w:pPr>
      <w:r>
        <w:t>4.1 TopologyVertexEdgeAttachment</w:t>
      </w:r>
    </w:p>
    <w:p>
      <w:pPr>
        <w:pStyle w:val="Code"/>
      </w:pPr>
      <w:r>
        <w:t>TopologyVertexEdgeAttachment(</w:t>
        <w:br/>
        <w:t xml:space="preserve">    attachment_id,</w:t>
        <w:br/>
        <w:br/>
        <w:t xml:space="preserve">    mob_element_id,</w:t>
        <w:br/>
        <w:t xml:space="preserve">    mob_vertex,</w:t>
        <w:br/>
        <w:t xml:space="preserve">    mob_edge,</w:t>
        <w:br/>
        <w:br/>
        <w:t xml:space="preserve">    dest_element_id,</w:t>
        <w:br/>
        <w:t xml:space="preserve">    dest_vertex,</w:t>
        <w:br/>
        <w:t xml:space="preserve">    dest_edge,</w:t>
        <w:br/>
        <w:t>)</w:t>
      </w:r>
    </w:p>
    <w:p>
      <w:r>
        <w:t>Sémantique : le triangle mobile et le triangle destination sont raccordés par un sommet respectif et par un côté respectif. Chaque côté doit être incident au sommet indiqué. Il n’existe plus de notion de « point projeté » dans l’attachment.</w:t>
      </w:r>
    </w:p>
    <w:tbl>
      <w:tblPr>
        <w:tblStyle w:val="TableGrid"/>
        <w:tblW w:type="auto" w:w="0"/>
        <w:jc w:val="center"/>
        <w:tblLook w:firstColumn="1" w:firstRow="1" w:lastColumn="0" w:lastRow="0" w:noHBand="0" w:noVBand="1" w:val="04A0"/>
      </w:tblPr>
      <w:tblGrid>
        <w:gridCol w:w="4986"/>
        <w:gridCol w:w="4986"/>
      </w:tblGrid>
      <w:tr>
        <w:tc>
          <w:tcPr>
            <w:tcW w:type="dxa" w:w="4986"/>
            <w:shd w:fill="D9E2F3"/>
            <w:vAlign w:val="center"/>
          </w:tcPr>
          <w:p>
            <w:r>
              <w:rPr>
                <w:b/>
              </w:rPr>
              <w:t>Champ</w:t>
            </w:r>
          </w:p>
        </w:tc>
        <w:tc>
          <w:tcPr>
            <w:tcW w:type="dxa" w:w="4986"/>
            <w:shd w:fill="D9E2F3"/>
            <w:vAlign w:val="center"/>
          </w:tcPr>
          <w:p>
            <w:r>
              <w:rPr>
                <w:b/>
              </w:rPr>
              <w:t>Rôle</w:t>
            </w:r>
          </w:p>
        </w:tc>
      </w:tr>
      <w:tr>
        <w:tc>
          <w:tcPr>
            <w:tcW w:type="dxa" w:w="4986"/>
            <w:vAlign w:val="top"/>
          </w:tcPr>
          <w:p>
            <w:r>
              <w:t>attachment_id</w:t>
            </w:r>
          </w:p>
        </w:tc>
        <w:tc>
          <w:tcPr>
            <w:tcW w:type="dxa" w:w="4986"/>
            <w:vAlign w:val="top"/>
          </w:tcPr>
          <w:p>
            <w:r>
              <w:t>Identité stable de l’attachment.</w:t>
            </w:r>
          </w:p>
        </w:tc>
      </w:tr>
      <w:tr>
        <w:tc>
          <w:tcPr>
            <w:tcW w:type="dxa" w:w="4986"/>
            <w:vAlign w:val="top"/>
          </w:tcPr>
          <w:p>
            <w:r>
              <w:t>mob_element_id</w:t>
            </w:r>
          </w:p>
        </w:tc>
        <w:tc>
          <w:tcPr>
            <w:tcW w:type="dxa" w:w="4986"/>
            <w:vAlign w:val="top"/>
          </w:tcPr>
          <w:p>
            <w:r>
              <w:t>ID du TopologyElement mobile.</w:t>
            </w:r>
          </w:p>
        </w:tc>
      </w:tr>
      <w:tr>
        <w:tc>
          <w:tcPr>
            <w:tcW w:type="dxa" w:w="4986"/>
            <w:vAlign w:val="top"/>
          </w:tcPr>
          <w:p>
            <w:r>
              <w:t>mob_vertex</w:t>
            </w:r>
          </w:p>
        </w:tc>
        <w:tc>
          <w:tcPr>
            <w:tcW w:type="dxa" w:w="4986"/>
            <w:vAlign w:val="top"/>
          </w:tcPr>
          <w:p>
            <w:r>
              <w:t>Sommet d’ancrage du mobile.</w:t>
            </w:r>
          </w:p>
        </w:tc>
      </w:tr>
      <w:tr>
        <w:tc>
          <w:tcPr>
            <w:tcW w:type="dxa" w:w="4986"/>
            <w:vAlign w:val="top"/>
          </w:tcPr>
          <w:p>
            <w:r>
              <w:t>mob_edge</w:t>
            </w:r>
          </w:p>
        </w:tc>
        <w:tc>
          <w:tcPr>
            <w:tcW w:type="dxa" w:w="4986"/>
            <w:vAlign w:val="top"/>
          </w:tcPr>
          <w:p>
            <w:r>
              <w:t>Arête incidente au sommet d’ancrage du mobile.</w:t>
            </w:r>
          </w:p>
        </w:tc>
      </w:tr>
      <w:tr>
        <w:tc>
          <w:tcPr>
            <w:tcW w:type="dxa" w:w="4986"/>
            <w:vAlign w:val="top"/>
          </w:tcPr>
          <w:p>
            <w:r>
              <w:t>dest_element_id</w:t>
            </w:r>
          </w:p>
        </w:tc>
        <w:tc>
          <w:tcPr>
            <w:tcW w:type="dxa" w:w="4986"/>
            <w:vAlign w:val="top"/>
          </w:tcPr>
          <w:p>
            <w:r>
              <w:t>ID du TopologyElement destination.</w:t>
            </w:r>
          </w:p>
        </w:tc>
      </w:tr>
      <w:tr>
        <w:tc>
          <w:tcPr>
            <w:tcW w:type="dxa" w:w="4986"/>
            <w:vAlign w:val="top"/>
          </w:tcPr>
          <w:p>
            <w:r>
              <w:t>dest_vertex</w:t>
            </w:r>
          </w:p>
        </w:tc>
        <w:tc>
          <w:tcPr>
            <w:tcW w:type="dxa" w:w="4986"/>
            <w:vAlign w:val="top"/>
          </w:tcPr>
          <w:p>
            <w:r>
              <w:t>Sommet d’ancrage de la destination.</w:t>
            </w:r>
          </w:p>
        </w:tc>
      </w:tr>
      <w:tr>
        <w:tc>
          <w:tcPr>
            <w:tcW w:type="dxa" w:w="4986"/>
            <w:vAlign w:val="top"/>
          </w:tcPr>
          <w:p>
            <w:r>
              <w:t>dest_edge</w:t>
            </w:r>
          </w:p>
        </w:tc>
        <w:tc>
          <w:tcPr>
            <w:tcW w:type="dxa" w:w="4986"/>
            <w:vAlign w:val="top"/>
          </w:tcPr>
          <w:p>
            <w:r>
              <w:t>Arête incidente au sommet d’ancrage de la destination.</w:t>
            </w:r>
          </w:p>
        </w:tc>
      </w:tr>
    </w:tbl>
    <w:p/>
    <w:p>
      <w:r>
        <w:t>Champs explicitement exclus : t, edgeFrom, mapping, short/long, coordonnées, longueurs, pose, Concept Node, coverage, split point, résultat d’overlap.</w:t>
      </w:r>
    </w:p>
    <w:p>
      <w:pPr>
        <w:pStyle w:val="Heading2"/>
      </w:pPr>
      <w:r>
        <w:t>4.2 TopologyEdgeEdgeAttachment</w:t>
      </w:r>
    </w:p>
    <w:p>
      <w:pPr>
        <w:pStyle w:val="Code"/>
      </w:pPr>
      <w:r>
        <w:t>TopologyEdgeEdgeAttachment(</w:t>
        <w:br/>
        <w:t xml:space="preserve">    attachment_id,</w:t>
        <w:br/>
        <w:br/>
        <w:t xml:space="preserve">    mob_element_id,</w:t>
        <w:br/>
        <w:t xml:space="preserve">    mob_edge,</w:t>
        <w:br/>
        <w:br/>
        <w:t xml:space="preserve">    dest_element_id,</w:t>
        <w:br/>
        <w:t xml:space="preserve">    dest_edge,</w:t>
        <w:br/>
        <w:t>)</w:t>
      </w:r>
    </w:p>
    <w:p>
      <w:r>
        <w:t>Sémantique : l’arête du mobile est attachée à l’arête de la destination. L’attachment ne contient aucune correspondance de sommets. Le Resolver choisit la correspondance géométriquement correcte, notamment la configuration de raccord sans chevauchement local.</w:t>
      </w:r>
    </w:p>
    <w:p>
      <w:r>
        <w:t>Les anciens concepts mapping='direct' / mapping='reverse' disparaissent du modèle persistant.</w:t>
      </w:r>
    </w:p>
    <w:p>
      <w:pPr>
        <w:pStyle w:val="Heading1"/>
      </w:pPr>
      <w:r>
        <w:t>5. Validation structurelle</w:t>
      </w:r>
    </w:p>
    <w:p>
      <w:r>
        <w:t>Un attachment ne peut entrer dans TopologyWorld qu’après validation structurelle. Le Resolver est autorisé à supposer ces invariants vrais.</w:t>
      </w:r>
    </w:p>
    <w:p>
      <w:pPr>
        <w:pStyle w:val="ListBullet"/>
      </w:pPr>
      <w:r>
        <w:t>mob_element_id existe.</w:t>
      </w:r>
    </w:p>
    <w:p>
      <w:pPr>
        <w:pStyle w:val="ListBullet"/>
      </w:pPr>
      <w:r>
        <w:t>dest_element_id existe.</w:t>
      </w:r>
    </w:p>
    <w:p>
      <w:pPr>
        <w:pStyle w:val="ListBullet"/>
      </w:pPr>
      <w:r>
        <w:t>mob et dest sont deux éléments différents.</w:t>
      </w:r>
    </w:p>
    <w:p>
      <w:pPr>
        <w:pStyle w:val="ListBullet"/>
      </w:pPr>
      <w:r>
        <w:t>Tous les vertices référencés existent sur leur élément.</w:t>
      </w:r>
    </w:p>
    <w:p>
      <w:pPr>
        <w:pStyle w:val="ListBullet"/>
      </w:pPr>
      <w:r>
        <w:t>Toutes les edges référencées existent sur leur élément.</w:t>
      </w:r>
    </w:p>
    <w:p>
      <w:pPr>
        <w:pStyle w:val="ListBullet"/>
      </w:pPr>
      <w:r>
        <w:t>Pour un vertex-edge, mob_vertex est une extrémité de mob_edge.</w:t>
      </w:r>
    </w:p>
    <w:p>
      <w:pPr>
        <w:pStyle w:val="ListBullet"/>
      </w:pPr>
      <w:r>
        <w:t>Pour un vertex-edge, dest_vertex est une extrémité de dest_edge.</w:t>
      </w:r>
    </w:p>
    <w:p>
      <w:r>
        <w:t>Erreur cible : TopologyAttachmentValidationError, ou équivalent métier explicite. Une erreur de programmation ne doit pas être transformée artificiellement en erreur métier.</w:t>
      </w:r>
    </w:p>
    <w:p>
      <w:pPr>
        <w:pStyle w:val="Heading1"/>
      </w:pPr>
      <w:r>
        <w:t>6. Resolver : responsabilité exclusive</w:t>
      </w:r>
    </w:p>
    <w:p>
      <w:r>
        <w:t>Le Resolver est l’unique frontière entre l’intention topologique et son interprétation géométrique. En dehors des resolvers, aucun code Core ne doit interpréter la géométrie d’un TopologyAttachment.</w:t>
      </w:r>
    </w:p>
    <w:p>
      <w:r>
        <w:t>Le Resolver peut utiliser en interne des notions de calcul telles que longueur courte/longue, orientation ou alternatives de raccord. Ces notions sont des détails d’algorithme et ne doivent pas fuir dans les objets Resolved.</w:t>
      </w:r>
    </w:p>
    <w:p>
      <w:r>
        <w:t>Le Resolver ne contrôle pas l’overlap global des groupes. Il résout le raccord local. Le contrôle de chevauchement global intervient ensuite sur l’ensemble du groupe mobile.</w:t>
      </w:r>
    </w:p>
    <w:p>
      <w:pPr>
        <w:pStyle w:val="Heading1"/>
      </w:pPr>
      <w:r>
        <w:t>7. ResolvedVertexEdgeAttachment</w:t>
      </w:r>
    </w:p>
    <w:p>
      <w:pPr>
        <w:pStyle w:val="Code"/>
      </w:pPr>
      <w:r>
        <w:t>ResolvedVertexEdgeAttachment(</w:t>
        <w:br/>
        <w:t xml:space="preserve">    attachment_id,</w:t>
        <w:br/>
        <w:br/>
        <w:t xml:space="preserve">    # Relation vertex-vertex d'ancrage</w:t>
        <w:br/>
        <w:t xml:space="preserve">    anchor_mob_element_id,</w:t>
        <w:br/>
        <w:t xml:space="preserve">    anchor_mob_vertex,</w:t>
        <w:br/>
        <w:t xml:space="preserve">    anchor_dest_element_id,</w:t>
        <w:br/>
        <w:t xml:space="preserve">    anchor_dest_vertex,</w:t>
        <w:br/>
        <w:br/>
        <w:t xml:space="preserve">    # Relation vertex-edge résolue</w:t>
        <w:br/>
        <w:t xml:space="preserve">    vertex_element_id,</w:t>
        <w:br/>
        <w:t xml:space="preserve">    vertex,</w:t>
        <w:br/>
        <w:br/>
        <w:t xml:space="preserve">    edge_element_id,</w:t>
        <w:br/>
        <w:t xml:space="preserve">    edge,</w:t>
        <w:br/>
        <w:t xml:space="preserve">    edge_anchor_vertex,</w:t>
        <w:br/>
        <w:br/>
        <w:t xml:space="preserve">    position_from_anchor,</w:t>
        <w:br/>
        <w:t>)</w:t>
      </w:r>
    </w:p>
    <w:p>
      <w:r>
        <w:t>Exemple de lecture directe :</w:t>
      </w:r>
    </w:p>
    <w:p>
      <w:pPr>
        <w:pStyle w:val="Code"/>
      </w:pPr>
      <w:r>
        <w:t>A006</w:t>
        <w:br/>
        <w:br/>
        <w:t>T04.L == T05.L</w:t>
        <w:br/>
        <w:br/>
        <w:t>T04.O appartient à T05.LB</w:t>
        <w:br/>
        <w:t>position = 0.63 depuis T05.L</w:t>
      </w:r>
    </w:p>
    <w:p>
      <w:r>
        <w:t>Le consommateur ne doit effectuer aucun calcul pour comprendre le sens de la relation. edge_anchor_vertex rend l’origine de position_from_anchor explicite et supprime l’ambiguïté de l’ancien t.</w:t>
      </w:r>
    </w:p>
    <w:p>
      <w:r>
        <w:t>Cas de longueurs égales : le type reste strictement vertex-edge. Si position_from_anchor vaut 1.0, cela ne crée pas une deuxième relation topologique vertex-vertex et ne transforme jamais l’attachment en edge-edge. La coïncidence géométrique éventuelle des coordonnées ne requalifie pas la topologie.</w:t>
      </w:r>
    </w:p>
    <w:p>
      <w:r>
        <w:t>Aucune tolérance géométrique n’est utilisée pour décider de la nature de la relation topologique. Les problèmes de flottants ne doivent jamais pouvoir transformer un vertex-edge en edge-edge.</w:t>
      </w:r>
    </w:p>
    <w:p>
      <w:pPr>
        <w:pStyle w:val="Heading1"/>
      </w:pPr>
      <w:r>
        <w:t>8. ResolvedEdgeEdgeAttachment</w:t>
      </w:r>
    </w:p>
    <w:p>
      <w:pPr>
        <w:pStyle w:val="Code"/>
      </w:pPr>
      <w:r>
        <w:t>ResolvedEdgeEdgeAttachment(</w:t>
        <w:br/>
        <w:t xml:space="preserve">    attachment_id,</w:t>
        <w:br/>
        <w:br/>
        <w:t xml:space="preserve">    mob_element_id,</w:t>
        <w:br/>
        <w:t xml:space="preserve">    mob_edge,</w:t>
        <w:br/>
        <w:br/>
        <w:t xml:space="preserve">    dest_element_id,</w:t>
        <w:br/>
        <w:t xml:space="preserve">    dest_edge,</w:t>
        <w:br/>
        <w:br/>
        <w:t xml:space="preserve">    mob_vertex_1,</w:t>
        <w:br/>
        <w:t xml:space="preserve">    dest_vertex_1,</w:t>
        <w:br/>
        <w:br/>
        <w:t xml:space="preserve">    mob_vertex_2,</w:t>
        <w:br/>
        <w:t xml:space="preserve">    dest_vertex_2,</w:t>
        <w:br/>
        <w:t>)</w:t>
      </w:r>
    </w:p>
    <w:p>
      <w:r>
        <w:t>Exemple de lecture directe :</w:t>
      </w:r>
    </w:p>
    <w:p>
      <w:pPr>
        <w:pStyle w:val="Code"/>
      </w:pPr>
      <w:r>
        <w:t>A007</w:t>
        <w:br/>
        <w:t>T04.LO &lt;-&gt; T05.LB</w:t>
        <w:br/>
        <w:br/>
        <w:t>T04.L == T05.B</w:t>
        <w:br/>
        <w:t>T04.O == T05.L</w:t>
      </w:r>
    </w:p>
    <w:p>
      <w:r>
        <w:t>Le Resolver a déjà tranché la correspondance des extrémités. Aucun consommateur ne doit ensuite manipuler une notion direct/reverse, mapping, flip ou sens implicite.</w:t>
      </w:r>
    </w:p>
    <w:p>
      <w:r>
        <w:t>Les champs mob_edge/dest_edge sont volontairement conservés dans le resolved malgré leur redondance avec l’attachment source : le resolved doit être compréhensible seul dans le debugger.</w:t>
      </w:r>
    </w:p>
    <w:p>
      <w:pPr>
        <w:pStyle w:val="Heading1"/>
      </w:pPr>
      <w:r>
        <w:t>9. Règle de non-requalification topologique</w:t>
      </w:r>
    </w:p>
    <w:p>
      <w:r/>
      <w:r>
        <w:rPr>
          <w:b/>
        </w:rPr>
        <w:t xml:space="preserve">Règle fondamentale : </w:t>
      </w:r>
      <w:r>
        <w:t>la géométrie détermine les paramètres de la résolution, jamais son type.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2F3"/>
            <w:vAlign w:val="center"/>
          </w:tcPr>
          <w:p>
            <w:r>
              <w:rPr>
                <w:b/>
              </w:rPr>
              <w:t>Attachment créé</w:t>
            </w:r>
          </w:p>
        </w:tc>
        <w:tc>
          <w:tcPr>
            <w:tcW w:type="dxa" w:w="3324"/>
            <w:shd w:fill="D9E2F3"/>
            <w:vAlign w:val="center"/>
          </w:tcPr>
          <w:p>
            <w:r>
              <w:rPr>
                <w:b/>
              </w:rPr>
              <w:t>Resolved produit</w:t>
            </w:r>
          </w:p>
        </w:tc>
        <w:tc>
          <w:tcPr>
            <w:tcW w:type="dxa" w:w="3324"/>
            <w:shd w:fill="D9E2F3"/>
            <w:vAlign w:val="center"/>
          </w:tcPr>
          <w:p>
            <w:r>
              <w:rPr>
                <w:b/>
              </w:rPr>
              <w:t>Interdit</w:t>
            </w:r>
          </w:p>
        </w:tc>
      </w:tr>
      <w:tr>
        <w:tc>
          <w:tcPr>
            <w:tcW w:type="dxa" w:w="3324"/>
            <w:vAlign w:val="top"/>
          </w:tcPr>
          <w:p>
            <w:r>
              <w:t>TopologyVertexEdgeAttachment</w:t>
            </w:r>
          </w:p>
        </w:tc>
        <w:tc>
          <w:tcPr>
            <w:tcW w:type="dxa" w:w="3324"/>
            <w:vAlign w:val="top"/>
          </w:tcPr>
          <w:p>
            <w:r>
              <w:t>ResolvedVertexEdgeAttachment</w:t>
            </w:r>
          </w:p>
        </w:tc>
        <w:tc>
          <w:tcPr>
            <w:tcW w:type="dxa" w:w="3324"/>
            <w:vAlign w:val="top"/>
          </w:tcPr>
          <w:p>
            <w:r>
              <w:t>Promotion en edge-edge parce que deux longueurs ou coordonnées coïncident.</w:t>
            </w:r>
          </w:p>
        </w:tc>
      </w:tr>
      <w:tr>
        <w:tc>
          <w:tcPr>
            <w:tcW w:type="dxa" w:w="3324"/>
            <w:vAlign w:val="top"/>
          </w:tcPr>
          <w:p>
            <w:r>
              <w:t>TopologyEdgeEdgeAttachment</w:t>
            </w:r>
          </w:p>
        </w:tc>
        <w:tc>
          <w:tcPr>
            <w:tcW w:type="dxa" w:w="3324"/>
            <w:vAlign w:val="top"/>
          </w:tcPr>
          <w:p>
            <w:r>
              <w:t>ResolvedEdgeEdgeAttachment</w:t>
            </w:r>
          </w:p>
        </w:tc>
        <w:tc>
          <w:tcPr>
            <w:tcW w:type="dxa" w:w="3324"/>
            <w:vAlign w:val="top"/>
          </w:tcPr>
          <w:p>
            <w:r>
              <w:t>Dégradation/requalification en vertex-edge.</w:t>
            </w:r>
          </w:p>
        </w:tc>
      </w:tr>
    </w:tbl>
    <w:p/>
    <w:p>
      <w:r>
        <w:t>Cette règle est indispensable pour que la topologie reste stable pendant DEFORM : une variation continue de longueur peut modifier position_from_anchor sans modifier la nature du raccord.</w:t>
      </w:r>
    </w:p>
    <w:p>
      <w:pPr>
        <w:pStyle w:val="Heading1"/>
      </w:pPr>
      <w:r>
        <w:t>10. Immutabilité et identité</w:t>
      </w:r>
    </w:p>
    <w:p>
      <w:pPr>
        <w:pStyle w:val="ListBullet"/>
      </w:pPr>
      <w:r>
        <w:t>Un attachment est immuable après sa création.</w:t>
      </w:r>
    </w:p>
    <w:p>
      <w:pPr>
        <w:pStyle w:val="ListBullet"/>
      </w:pPr>
      <w:r>
        <w:t>Modifier un raccord = supprimer l’ancien attachment et créer un nouvel attachment.</w:t>
      </w:r>
    </w:p>
    <w:p>
      <w:pPr>
        <w:pStyle w:val="ListBullet"/>
      </w:pPr>
      <w:r>
        <w:t>Le ResolvedAttachment reprend exactement le même attachment_id que sa source.</w:t>
      </w:r>
    </w:p>
    <w:p>
      <w:pPr>
        <w:pStyle w:val="ListBullet"/>
      </w:pPr>
      <w:r>
        <w:t>Il n’existe pas de resolved_id distinct.</w:t>
      </w:r>
    </w:p>
    <w:p>
      <w:pPr>
        <w:pStyle w:val="ListBullet"/>
      </w:pPr>
      <w:r>
        <w:t>Le ResolvedAttachment est lui aussi immuable ; une invalidation entraîne sa destruction puis une nouvelle résolution.</w:t>
      </w:r>
    </w:p>
    <w:p>
      <w:pPr>
        <w:pStyle w:val="Code"/>
      </w:pPr>
      <w:r>
        <w:t>world.attachments["A006"]</w:t>
        <w:br/>
        <w:t>world.resolved_attachments["A006"]</w:t>
      </w:r>
    </w:p>
    <w:p>
      <w:r>
        <w:t>Ces deux entrées sont les deux faces d’un même raccord : intention persistante et résolution courante.</w:t>
      </w:r>
    </w:p>
    <w:p>
      <w:pPr>
        <w:pStyle w:val="Heading1"/>
      </w:pPr>
      <w:r>
        <w:t>11. Cache central dans TopologyWorld</w:t>
      </w:r>
    </w:p>
    <w:p>
      <w:r>
        <w:t>Le cache des résolutions est centralisé dans TopologyWorld, avec résolution lazy et invalidation ciblée par elementId.</w:t>
      </w:r>
    </w:p>
    <w:p>
      <w:pPr>
        <w:pStyle w:val="Code"/>
      </w:pPr>
      <w:r>
        <w:t>TopologyWorld</w:t>
        <w:br/>
        <w:t xml:space="preserve">    attachments</w:t>
        <w:br/>
        <w:t xml:space="preserve">        A006 -&gt; TopologyVertexEdgeAttachment</w:t>
        <w:br/>
        <w:br/>
        <w:t xml:space="preserve">    resolved_attachments</w:t>
        <w:br/>
        <w:t xml:space="preserve">        A006 -&gt; ResolvedVertexEdgeAttachment</w:t>
      </w:r>
    </w:p>
    <w:p>
      <w:r>
        <w:t>Comportement cible de getResolvedAttachment(attachment_id) :</w:t>
      </w:r>
    </w:p>
    <w:p>
      <w:pPr>
        <w:pStyle w:val="ListNumber"/>
      </w:pPr>
      <w:r>
        <w:t>Retourner l’objet présent dans resolved_attachments s’il existe.</w:t>
      </w:r>
    </w:p>
    <w:p>
      <w:pPr>
        <w:pStyle w:val="ListNumber"/>
      </w:pPr>
      <w:r>
        <w:t>Sinon récupérer l’attachment source.</w:t>
      </w:r>
    </w:p>
    <w:p>
      <w:pPr>
        <w:pStyle w:val="ListNumber"/>
      </w:pPr>
      <w:r>
        <w:t>Appeler le Resolver adapté au type topologique.</w:t>
      </w:r>
    </w:p>
    <w:p>
      <w:pPr>
        <w:pStyle w:val="ListNumber"/>
      </w:pPr>
      <w:r>
        <w:t>Mettre le résultat en cache sous le même attachment_id.</w:t>
      </w:r>
    </w:p>
    <w:p>
      <w:pPr>
        <w:pStyle w:val="ListNumber"/>
      </w:pPr>
      <w:r>
        <w:t>Retourner le resolved.</w:t>
      </w:r>
    </w:p>
    <w:p>
      <w:r>
        <w:t>Aucun mécanisme de version, timestamp ou génération n’est requis à ce stade.</w:t>
      </w:r>
    </w:p>
    <w:p>
      <w:pPr>
        <w:pStyle w:val="Heading1"/>
      </w:pPr>
      <w:r>
        <w:t>12. Invalidation</w:t>
      </w:r>
    </w:p>
    <w:p>
      <w:r>
        <w:t>L’invalidation d’un ResolvedAttachment dépend uniquement des TopologyElement dont la géométrie intrinsèque a changé. Elle ne se propage pas d’attachment en attachment.</w:t>
      </w:r>
    </w:p>
    <w:p>
      <w:pPr>
        <w:pStyle w:val="Code"/>
      </w:pPr>
      <w:r>
        <w:t>T1 -- A001 -- T2 -- A002 -- T3</w:t>
        <w:br/>
        <w:br/>
        <w:t>DEFORM T1</w:t>
        <w:br/>
        <w:t xml:space="preserve">    -&gt; invalide A001</w:t>
        <w:br/>
        <w:t xml:space="preserve">    -&gt; n'invalide pas A002</w:t>
      </w:r>
    </w:p>
    <w:p>
      <w:r>
        <w:t>Le déplacement ou la rotation monde de T2/T3 résultant du nouvel assemblage ne modifie pas leur géométrie intrinsèque et ne rend donc pas A002 obsolète.</w:t>
      </w:r>
    </w:p>
    <w:p>
      <w:pPr>
        <w:pStyle w:val="ListBullet"/>
      </w:pPr>
      <w:r>
        <w:t>Modification de géométrie intrinsèque de T4 : invalider tous les resolved des attachments incidents à T4.</w:t>
      </w:r>
    </w:p>
    <w:p>
      <w:pPr>
        <w:pStyle w:val="ListBullet"/>
      </w:pPr>
      <w:r>
        <w:t>Suppression de A006 : supprimer A006 de attachments et de resolved_attachments.</w:t>
      </w:r>
    </w:p>
    <w:p>
      <w:pPr>
        <w:pStyle w:val="ListBullet"/>
      </w:pPr>
      <w:r>
        <w:t>Ajout de A006 : validation structurelle puis ajout ; pas de résolution immédiate obligatoire.</w:t>
      </w:r>
    </w:p>
    <w:p>
      <w:pPr>
        <w:pStyle w:val="ListBullet"/>
      </w:pPr>
      <w:r>
        <w:t>Remplacement : conceptuellement remove + add.</w:t>
      </w:r>
    </w:p>
    <w:p>
      <w:r>
        <w:t>Les structures globales dérivées concernées (Concept Graph, géométrie conceptuelle, boundary, etc.) sont invalidées/reconstruites selon leurs propres dépendances.</w:t>
      </w:r>
    </w:p>
    <w:p>
      <w:pPr>
        <w:pStyle w:val="Heading1"/>
      </w:pPr>
      <w:r>
        <w:t>13. Structures dérivées</w:t>
      </w:r>
    </w:p>
    <w:p>
      <w:r>
        <w:t>Le ResolvedAttachment est la vérité résolue commune dont dérivent les structures Core. Ces structures ne doivent pas réinterpréter l’attachment brut.</w:t>
      </w:r>
    </w:p>
    <w:tbl>
      <w:tblPr>
        <w:tblStyle w:val="TableGrid"/>
        <w:tblW w:type="auto" w:w="0"/>
        <w:jc w:val="center"/>
        <w:tblLook w:firstColumn="1" w:firstRow="1" w:lastColumn="0" w:lastRow="0" w:noHBand="0" w:noVBand="1" w:val="04A0"/>
      </w:tblPr>
      <w:tblGrid>
        <w:gridCol w:w="4986"/>
        <w:gridCol w:w="4986"/>
      </w:tblGrid>
      <w:tr>
        <w:tc>
          <w:tcPr>
            <w:tcW w:type="dxa" w:w="4986"/>
            <w:shd w:fill="D9E2F3"/>
            <w:vAlign w:val="center"/>
          </w:tcPr>
          <w:p>
            <w:r>
              <w:rPr>
                <w:b/>
              </w:rPr>
              <w:t>Structure</w:t>
            </w:r>
          </w:p>
        </w:tc>
        <w:tc>
          <w:tcPr>
            <w:tcW w:type="dxa" w:w="4986"/>
            <w:shd w:fill="D9E2F3"/>
            <w:vAlign w:val="center"/>
          </w:tcPr>
          <w:p>
            <w:r>
              <w:rPr>
                <w:b/>
              </w:rPr>
              <w:t>Règle</w:t>
            </w:r>
          </w:p>
        </w:tc>
      </w:tr>
      <w:tr>
        <w:tc>
          <w:tcPr>
            <w:tcW w:type="dxa" w:w="4986"/>
            <w:vAlign w:val="top"/>
          </w:tcPr>
          <w:p>
            <w:r>
              <w:t>Concept Nodes / Concept Graph</w:t>
            </w:r>
          </w:p>
        </w:tc>
        <w:tc>
          <w:tcPr>
            <w:tcW w:type="dxa" w:w="4986"/>
            <w:vAlign w:val="top"/>
          </w:tcPr>
          <w:p>
            <w:r>
              <w:t>Consomment les équivalences/incidences du resolved. Aucun concept_node_id n’est stocké dans attachment/resolved.</w:t>
            </w:r>
          </w:p>
        </w:tc>
      </w:tr>
      <w:tr>
        <w:tc>
          <w:tcPr>
            <w:tcW w:type="dxa" w:w="4986"/>
            <w:vAlign w:val="top"/>
          </w:tcPr>
          <w:p>
            <w:r>
              <w:t>Coverages</w:t>
            </w:r>
          </w:p>
        </w:tc>
        <w:tc>
          <w:tcPr>
            <w:tcW w:type="dxa" w:w="4986"/>
            <w:vAlign w:val="top"/>
          </w:tcPr>
          <w:p>
            <w:r>
              <w:t>Dérivés de la relation edge-edge résolue. Aucun objet coverage n’est stocké dans l’attachment ou le resolved.</w:t>
            </w:r>
          </w:p>
        </w:tc>
      </w:tr>
      <w:tr>
        <w:tc>
          <w:tcPr>
            <w:tcW w:type="dxa" w:w="4986"/>
            <w:vAlign w:val="top"/>
          </w:tcPr>
          <w:p>
            <w:r>
              <w:t>Derived split points</w:t>
            </w:r>
          </w:p>
        </w:tc>
        <w:tc>
          <w:tcPr>
            <w:tcW w:type="dxa" w:w="4986"/>
            <w:vAlign w:val="top"/>
          </w:tcPr>
          <w:p>
            <w:r>
              <w:t>Dérivés des relations vertex-on-edge résolues. Ne relisent plus t/edgeFrom dans l’attachment.</w:t>
            </w:r>
          </w:p>
        </w:tc>
      </w:tr>
      <w:tr>
        <w:tc>
          <w:tcPr>
            <w:tcW w:type="dxa" w:w="4986"/>
            <w:vAlign w:val="top"/>
          </w:tcPr>
          <w:p>
            <w:r>
              <w:t>Boundary / contour</w:t>
            </w:r>
          </w:p>
        </w:tc>
        <w:tc>
          <w:tcPr>
            <w:tcW w:type="dxa" w:w="4986"/>
            <w:vAlign w:val="top"/>
          </w:tcPr>
          <w:p>
            <w:r>
              <w:t>Travaille en aval sur le graphe conceptuel et les structures dérivées ; ne réinterprète pas les attachments.</w:t>
            </w:r>
          </w:p>
        </w:tc>
      </w:tr>
      <w:tr>
        <w:tc>
          <w:tcPr>
            <w:tcW w:type="dxa" w:w="4986"/>
            <w:vAlign w:val="top"/>
          </w:tcPr>
          <w:p>
            <w:r>
              <w:t>Pose / assemblage</w:t>
            </w:r>
          </w:p>
        </w:tc>
        <w:tc>
          <w:tcPr>
            <w:tcW w:type="dxa" w:w="4986"/>
            <w:vAlign w:val="top"/>
          </w:tcPr>
          <w:p>
            <w:r>
              <w:t>Calcule la transformation nécessaire à partir du resolved. Ne relit pas mapping, short/long ou une paire legacy VV+VE.</w:t>
            </w:r>
          </w:p>
        </w:tc>
      </w:tr>
    </w:tbl>
    <w:p/>
    <w:p>
      <w:r>
        <w:t>Le ResolvedAttachment ne stocke pas la pose. Cela évite toute double vérité entre la résolution d’un raccord et la pose courante des TopologyElement.</w:t>
      </w:r>
    </w:p>
    <w:p>
      <w:pPr>
        <w:pStyle w:val="Heading1"/>
      </w:pPr>
      <w:r>
        <w:t>14. Pipeline Core cible</w:t>
      </w:r>
    </w:p>
    <w:p>
      <w:pPr>
        <w:pStyle w:val="Code"/>
      </w:pPr>
      <w:r>
        <w:t>TopologyElement.geometry</w:t>
        <w:br/>
        <w:t xml:space="preserve">          +</w:t>
        <w:br/>
        <w:t>TopologyAttachment</w:t>
        <w:br/>
        <w:t xml:space="preserve">          |</w:t>
        <w:br/>
        <w:t xml:space="preserve">          v</w:t>
        <w:br/>
        <w:t xml:space="preserve">       RESOLVER</w:t>
        <w:br/>
        <w:t xml:space="preserve">          |</w:t>
        <w:br/>
        <w:t xml:space="preserve">          v</w:t>
        <w:br/>
        <w:t>ResolvedAttachment</w:t>
        <w:br/>
        <w:t xml:space="preserve">          |</w:t>
        <w:br/>
        <w:t xml:space="preserve">          +--&gt; Pose / assemblage</w:t>
        <w:br/>
        <w:t xml:space="preserve">          +--&gt; DSU nodes / groups</w:t>
        <w:br/>
        <w:t xml:space="preserve">          +--&gt; Concept Nodes / Concept Graph</w:t>
        <w:br/>
        <w:t xml:space="preserve">          +--&gt; Coverages</w:t>
        <w:br/>
        <w:t xml:space="preserve">          +--&gt; Derived split points</w:t>
        <w:br/>
        <w:t xml:space="preserve">          +--&gt; Boundary / autres dérivés</w:t>
      </w:r>
    </w:p>
    <w:p>
      <w:r>
        <w:t>Chemin interdit : un consommateur géométrique ne doit plus accéder au TopologyAttachment pour refaire une interprétation du raccord.</w:t>
      </w:r>
    </w:p>
    <w:p>
      <w:pPr>
        <w:pStyle w:val="Heading1"/>
      </w:pPr>
      <w:r>
        <w:t>15. Reconstruction et état actuel à migrer</w:t>
      </w:r>
    </w:p>
    <w:p>
      <w:r>
        <w:t>Le Core actuel reconstruit les groupes et structures associées à partir des attachments, mais plusieurs traitements interprètent encore directement les informations legacy. La migration doit centraliser cette interprétation dans les resolvers.</w:t>
      </w:r>
    </w:p>
    <w:p>
      <w:pPr>
        <w:pStyle w:val="ListBullet"/>
      </w:pPr>
      <w:r>
        <w:t>rebuild_from_attachments / _apply_attachment_internal : doit consommer les ResolvedAttachment.</w:t>
      </w:r>
    </w:p>
    <w:p>
      <w:pPr>
        <w:pStyle w:val="ListBullet"/>
      </w:pPr>
      <w:r>
        <w:t>L’ancien vertex-edge basé sur t / edgeFrom doit disparaître.</w:t>
      </w:r>
    </w:p>
    <w:p>
      <w:pPr>
        <w:pStyle w:val="ListBullet"/>
      </w:pPr>
      <w:r>
        <w:t>L’ancien edge-edge basé sur mapping direct/reverse doit disparaître.</w:t>
      </w:r>
    </w:p>
    <w:p>
      <w:pPr>
        <w:pStyle w:val="ListBullet"/>
      </w:pPr>
      <w:r>
        <w:t>buildDerivedSplitPointsForPhysEdge : doit consommer les relations vertex-on-edge résolues.</w:t>
      </w:r>
    </w:p>
    <w:p>
      <w:pPr>
        <w:pStyle w:val="ListBullet"/>
      </w:pPr>
      <w:r>
        <w:t>_place_element_from_atomic_point_link : la notion legacy de paire vertex-vertex + vertex-edge doit disparaître.</w:t>
      </w:r>
    </w:p>
    <w:p>
      <w:pPr>
        <w:pStyle w:val="ListBullet"/>
      </w:pPr>
      <w:r>
        <w:t>_place_element_from_attachment : doit consommer le resolved et ne plus interpréter mapping.</w:t>
      </w:r>
    </w:p>
    <w:p>
      <w:pPr>
        <w:pStyle w:val="ListBullet"/>
      </w:pPr>
      <w:r>
        <w:t>Les coverages restent une structure dérivée ; leur construction doit partir du resolved edge-edge.</w:t>
      </w:r>
    </w:p>
    <w:p>
      <w:r>
        <w:t>Le Concept Graph et le Boundary sont déjà naturellement en aval ; ils doivent rester des consommateurs de structures résolues/dérivées, sans réintroduire de logique d’interprétation des attachments.</w:t>
      </w:r>
    </w:p>
    <w:p>
      <w:pPr>
        <w:pStyle w:val="Heading1"/>
      </w:pPr>
      <w:r>
        <w:t>16. Gestion des erreurs</w:t>
      </w:r>
    </w:p>
    <w:p>
      <w:r>
        <w:t>Deux familles d’erreurs doivent rester distinctes :</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2F3"/>
            <w:vAlign w:val="center"/>
          </w:tcPr>
          <w:p>
            <w:r>
              <w:rPr>
                <w:b/>
              </w:rPr>
              <w:t>Erreur</w:t>
            </w:r>
          </w:p>
        </w:tc>
        <w:tc>
          <w:tcPr>
            <w:tcW w:type="dxa" w:w="3324"/>
            <w:shd w:fill="D9E2F3"/>
            <w:vAlign w:val="center"/>
          </w:tcPr>
          <w:p>
            <w:r>
              <w:rPr>
                <w:b/>
              </w:rPr>
              <w:t>Moment</w:t>
            </w:r>
          </w:p>
        </w:tc>
        <w:tc>
          <w:tcPr>
            <w:tcW w:type="dxa" w:w="3324"/>
            <w:shd w:fill="D9E2F3"/>
            <w:vAlign w:val="center"/>
          </w:tcPr>
          <w:p>
            <w:r>
              <w:rPr>
                <w:b/>
              </w:rPr>
              <w:t>Exemples</w:t>
            </w:r>
          </w:p>
        </w:tc>
      </w:tr>
      <w:tr>
        <w:tc>
          <w:tcPr>
            <w:tcW w:type="dxa" w:w="3324"/>
            <w:vAlign w:val="top"/>
          </w:tcPr>
          <w:p>
            <w:r>
              <w:t>TopologyAttachmentValidationError</w:t>
            </w:r>
          </w:p>
        </w:tc>
        <w:tc>
          <w:tcPr>
            <w:tcW w:type="dxa" w:w="3324"/>
            <w:vAlign w:val="top"/>
          </w:tcPr>
          <w:p>
            <w:r>
              <w:t>Création/ajout dans TopologyWorld</w:t>
            </w:r>
          </w:p>
        </w:tc>
        <w:tc>
          <w:tcPr>
            <w:tcW w:type="dxa" w:w="3324"/>
            <w:vAlign w:val="top"/>
          </w:tcPr>
          <w:p>
            <w:r>
              <w:t>élément absent, vertex absent, edge absente, vertex non incident à l’edge, mob == dest.</w:t>
            </w:r>
          </w:p>
        </w:tc>
      </w:tr>
      <w:tr>
        <w:tc>
          <w:tcPr>
            <w:tcW w:type="dxa" w:w="3324"/>
            <w:vAlign w:val="top"/>
          </w:tcPr>
          <w:p>
            <w:r>
              <w:t>TopologyAttachmentResolutionError</w:t>
            </w:r>
          </w:p>
        </w:tc>
        <w:tc>
          <w:tcPr>
            <w:tcW w:type="dxa" w:w="3324"/>
            <w:vAlign w:val="top"/>
          </w:tcPr>
          <w:p>
            <w:r>
              <w:t>Résolution géométrique</w:t>
            </w:r>
          </w:p>
        </w:tc>
        <w:tc>
          <w:tcPr>
            <w:tcW w:type="dxa" w:w="3324"/>
            <w:vAlign w:val="top"/>
          </w:tcPr>
          <w:p>
            <w:r>
              <w:t>géométrie intrinsèque dégénérée ou raccord local impossible à résoudre.</w:t>
            </w:r>
          </w:p>
        </w:tc>
      </w:tr>
    </w:tbl>
    <w:p/>
    <w:p>
      <w:r>
        <w:t>Une opération prospective telle que DEFORM peut décider qu’une TopologyAttachmentResolutionError signifie « candidat impossible ». Elle ne doit pas capturer indistinctement ValueError, RuntimeError ou Exception pour masquer un bug.</w:t>
      </w:r>
    </w:p>
    <w:p>
      <w:r>
        <w:t>Le Core doit échouer explicitement lorsque son contrat métier ne peut pas être satisfait.</w:t>
      </w:r>
    </w:p>
    <w:p>
      <w:pPr>
        <w:pStyle w:val="Heading1"/>
      </w:pPr>
      <w:r>
        <w:t>17. Persistance XML</w:t>
      </w:r>
    </w:p>
    <w:p>
      <w:r>
        <w:t>Seuls les TopologyAttachment persistants sont sérialisés. Les ResolvedAttachment ne sont jamais écrits dans le XML : ils sont reconstruits lazy à partir de l’attachment et de la géométrie intrinsèque.</w:t>
      </w:r>
    </w:p>
    <w:p>
      <w:pPr>
        <w:pStyle w:val="Code"/>
      </w:pPr>
      <w:r>
        <w:t>&lt;VertexEdgeAttachment</w:t>
        <w:br/>
        <w:t xml:space="preserve">    id="A006"</w:t>
        <w:br/>
        <w:t xml:space="preserve">    mobElementId="T04"</w:t>
        <w:br/>
        <w:t xml:space="preserve">    mobVertex="L"</w:t>
        <w:br/>
        <w:t xml:space="preserve">    mobEdge="LO"</w:t>
        <w:br/>
        <w:t xml:space="preserve">    destElementId="T05"</w:t>
        <w:br/>
        <w:t xml:space="preserve">    destVertex="L"</w:t>
        <w:br/>
        <w:t xml:space="preserve">    destEdge="LB" /&gt;</w:t>
        <w:br/>
        <w:br/>
        <w:t>&lt;EdgeEdgeAttachment</w:t>
        <w:br/>
        <w:t xml:space="preserve">    id="A007"</w:t>
        <w:br/>
        <w:t xml:space="preserve">    mobElementId="T04"</w:t>
        <w:br/>
        <w:t xml:space="preserve">    mobEdge="LO"</w:t>
        <w:br/>
        <w:t xml:space="preserve">    destElementId="T05"</w:t>
        <w:br/>
        <w:t xml:space="preserve">    destEdge="LB" /&gt;</w:t>
      </w:r>
    </w:p>
    <w:p>
      <w:r>
        <w:t>Le format XML exact pourra être adapté aux conventions existantes du projet, mais il doit rester lisible et utiliser des noms métier explicites. Aucun t, edgeFrom, mapping ou donnée de résolution ne doit être persisté.</w:t>
      </w:r>
    </w:p>
    <w:p>
      <w:r>
        <w:t>Aucune compatibilité parallèle legacy/nouveau modèle n’est requise pour ce chantier : il n’existe pas de scénario utilisateur à migrer.</w:t>
      </w:r>
    </w:p>
    <w:p>
      <w:pPr>
        <w:pStyle w:val="Heading1"/>
      </w:pPr>
      <w:r>
        <w:t>18. Conséquences pour DEFORM</w:t>
      </w:r>
    </w:p>
    <w:p>
      <w:r>
        <w:t>DEFORM ne doit plus recalculer localement une variante de t. Une modification de géométrie intrinsèque invalide les resolved incidents ; le même Resolver Core que pour l’assemblage manuel recalcule ensuite position_from_anchor et les correspondances nécessaires.</w:t>
      </w:r>
    </w:p>
    <w:p>
      <w:r>
        <w:t>Cette règle garantit la cohérence recherchée : une opération manuelle et une modification automatique utilisent la même bibliothèque Core et la même définition du raccord.</w:t>
      </w:r>
    </w:p>
    <w:p>
      <w:pPr>
        <w:pStyle w:val="Code"/>
      </w:pPr>
      <w:r>
        <w:t>Déformation T4</w:t>
        <w:br/>
        <w:t xml:space="preserve">    -&gt; géométrie intrinsèque T4 modifiée</w:t>
        <w:br/>
        <w:t xml:space="preserve">    -&gt; invalidation des resolved incidents à T4</w:t>
        <w:br/>
        <w:t xml:space="preserve">    -&gt; résolution Core unique</w:t>
        <w:br/>
        <w:t xml:space="preserve">    -&gt; reconstruction des dérivés</w:t>
        <w:br/>
        <w:t xml:space="preserve">    -&gt; pose / contrôle global d'overlap</w:t>
      </w:r>
    </w:p>
    <w:p>
      <w:pPr>
        <w:pStyle w:val="Heading1"/>
      </w:pPr>
      <w:r>
        <w:t>19. Hors périmètre actuel</w:t>
      </w:r>
    </w:p>
    <w:p>
      <w:pPr>
        <w:pStyle w:val="ListBullet"/>
      </w:pPr>
      <w:r>
        <w:t>Attachments entre groupes comme objets métier : l’API reste limitée aux TopologyElement/triangles.</w:t>
      </w:r>
    </w:p>
    <w:p>
      <w:pPr>
        <w:pStyle w:val="ListBullet"/>
      </w:pPr>
      <w:r>
        <w:t>Figures nécessitant un attachment direct groupe-vers-groupe.</w:t>
      </w:r>
    </w:p>
    <w:p>
      <w:pPr>
        <w:pStyle w:val="ListBullet"/>
      </w:pPr>
      <w:r>
        <w:t>Promotion automatique vertex-edge &lt;-&gt; edge-edge.</w:t>
      </w:r>
    </w:p>
    <w:p>
      <w:pPr>
        <w:pStyle w:val="ListBullet"/>
      </w:pPr>
      <w:r>
        <w:t>Persistance des ResolvedAttachment.</w:t>
      </w:r>
    </w:p>
    <w:p>
      <w:pPr>
        <w:pStyle w:val="ListBullet"/>
      </w:pPr>
      <w:r>
        <w:t>Persistance de pose dans les ResolvedAttachment.</w:t>
      </w:r>
    </w:p>
    <w:p>
      <w:pPr>
        <w:pStyle w:val="ListBullet"/>
      </w:pPr>
      <w:r>
        <w:t>Tolérances géométriques utilisées pour requalifier une relation topologique.</w:t>
      </w:r>
    </w:p>
    <w:p>
      <w:pPr>
        <w:pStyle w:val="ListBullet"/>
      </w:pPr>
      <w:r>
        <w:t>Migration de scénarios historiques inexistants.</w:t>
      </w:r>
    </w:p>
    <w:p>
      <w:pPr>
        <w:pStyle w:val="Heading1"/>
      </w:pPr>
      <w:r>
        <w:t>20. Invariants de revue de code</w:t>
      </w:r>
    </w:p>
    <w:p>
      <w:r>
        <w:t>La migration sera considérée conforme si les invariants suivants sont vérifiables dans le code :</w:t>
      </w:r>
    </w:p>
    <w:p>
      <w:pPr>
        <w:pStyle w:val="ListBullet"/>
      </w:pPr>
      <w:r>
        <w:t>Aucun TopologyVertexEdgeAttachment ne contient t ou edgeFrom.</w:t>
      </w:r>
    </w:p>
    <w:p>
      <w:pPr>
        <w:pStyle w:val="ListBullet"/>
      </w:pPr>
      <w:r>
        <w:t>Aucun TopologyEdgeEdgeAttachment ne contient mapping direct/reverse.</w:t>
      </w:r>
    </w:p>
    <w:p>
      <w:pPr>
        <w:pStyle w:val="ListBullet"/>
      </w:pPr>
      <w:r>
        <w:t>Aucun consommateur hors Resolver ne détermine short/long ou la correspondance des endpoints d’un attachment.</w:t>
      </w:r>
    </w:p>
    <w:p>
      <w:pPr>
        <w:pStyle w:val="ListBullet"/>
      </w:pPr>
      <w:r>
        <w:t>Aucun consommateur ne transforme un vertex-edge en edge-edge sur la base de longueurs ou coordonnées égales.</w:t>
      </w:r>
    </w:p>
    <w:p>
      <w:pPr>
        <w:pStyle w:val="ListBullet"/>
      </w:pPr>
      <w:r>
        <w:t>Aucun ResolvedAttachment ne contient de pose, concept_node_id ou objet coverage.</w:t>
      </w:r>
    </w:p>
    <w:p>
      <w:pPr>
        <w:pStyle w:val="ListBullet"/>
      </w:pPr>
      <w:r>
        <w:t>Les split points vertex-edge sont construits depuis les resolved.</w:t>
      </w:r>
    </w:p>
    <w:p>
      <w:pPr>
        <w:pStyle w:val="ListBullet"/>
      </w:pPr>
      <w:r>
        <w:t>Les coverages edge-edge sont construits depuis les resolved.</w:t>
      </w:r>
    </w:p>
    <w:p>
      <w:pPr>
        <w:pStyle w:val="ListBullet"/>
      </w:pPr>
      <w:r>
        <w:t>La pose est calculée depuis les resolved.</w:t>
      </w:r>
    </w:p>
    <w:p>
      <w:pPr>
        <w:pStyle w:val="ListBullet"/>
      </w:pPr>
      <w:r>
        <w:t>Les resolved sont lazy, centralisés dans TopologyWorld et invalidés par géométrie intrinsèque incidente.</w:t>
      </w:r>
    </w:p>
    <w:p>
      <w:pPr>
        <w:pStyle w:val="ListBullet"/>
      </w:pPr>
      <w:r>
        <w:t>Les erreurs métier sont explicites ; les bugs ne sont pas masqués par des except génériques.</w:t>
      </w:r>
    </w:p>
    <w:p>
      <w:pPr>
        <w:pStyle w:val="Heading1"/>
      </w:pPr>
      <w:r>
        <w:t>21. Ordre recommandé de migration</w:t>
      </w:r>
    </w:p>
    <w:p>
      <w:pPr>
        <w:pStyle w:val="ListNumber"/>
      </w:pPr>
      <w:r>
        <w:t>Introduire les deux nouveaux modèles TopologyAttachment et leur validation structurelle.</w:t>
      </w:r>
    </w:p>
    <w:p>
      <w:pPr>
        <w:pStyle w:val="ListNumber"/>
      </w:pPr>
      <w:r>
        <w:t>Introduire les deux ResolvedAttachment et le Resolver unique par type.</w:t>
      </w:r>
    </w:p>
    <w:p>
      <w:pPr>
        <w:pStyle w:val="ListNumber"/>
      </w:pPr>
      <w:r>
        <w:t>Ajouter le cache lazy resolved_attachments dans TopologyWorld et son invalidation ciblée.</w:t>
      </w:r>
    </w:p>
    <w:p>
      <w:pPr>
        <w:pStyle w:val="ListNumber"/>
      </w:pPr>
      <w:r>
        <w:t>Faire consommer les resolved par rebuild_from_attachments / application DSU-groupes.</w:t>
      </w:r>
    </w:p>
    <w:p>
      <w:pPr>
        <w:pStyle w:val="ListNumber"/>
      </w:pPr>
      <w:r>
        <w:t>Migrer la pose/assemblage vers les resolved et supprimer la logique atomic VV+VE / mapping.</w:t>
      </w:r>
    </w:p>
    <w:p>
      <w:pPr>
        <w:pStyle w:val="ListNumber"/>
      </w:pPr>
      <w:r>
        <w:t>Migrer DerivedSplitPoints vers les resolved vertex-edge.</w:t>
      </w:r>
    </w:p>
    <w:p>
      <w:pPr>
        <w:pStyle w:val="ListNumber"/>
      </w:pPr>
      <w:r>
        <w:t>Migrer la construction des coverages vers les resolved edge-edge.</w:t>
      </w:r>
    </w:p>
    <w:p>
      <w:pPr>
        <w:pStyle w:val="ListNumber"/>
      </w:pPr>
      <w:r>
        <w:t>Vérifier Concept Graph et Boundary : aucun chemin direct d’interprétation des attachments ne doit subsister.</w:t>
      </w:r>
    </w:p>
    <w:p>
      <w:pPr>
        <w:pStyle w:val="ListNumber"/>
      </w:pPr>
      <w:r>
        <w:t>Migrer la persistance XML vers les nouveaux modèles persistants uniquement.</w:t>
      </w:r>
    </w:p>
    <w:p>
      <w:pPr>
        <w:pStyle w:val="ListNumber"/>
      </w:pPr>
      <w:r>
        <w:t>Rebrancher DEFORM sur l’invalidation/résolution Core commune et supprimer les recalculs locaux redondants.</w:t>
      </w:r>
    </w:p>
    <w:p>
      <w:pPr>
        <w:pStyle w:val="ListNumber"/>
      </w:pPr>
      <w:r>
        <w:t>Nettoyer les classes, champs et branches legacy devenus morts.</w:t>
      </w:r>
    </w:p>
    <w:p>
      <w:pPr>
        <w:pStyle w:val="Heading1"/>
      </w:pPr>
      <w:r>
        <w:t>22. Décision finale</w:t>
      </w:r>
    </w:p>
    <w:p>
      <w:r>
        <w:rPr>
          <w:b/>
        </w:rPr>
        <w:t xml:space="preserve">Architecture retenue : </w:t>
      </w:r>
      <w:r>
        <w:t>TopologyAttachment = intention topologique stable ; Resolver = interprétation unique ; ResolvedAttachment = vérité résolue directement exploitable ; structures Core = dérivées de cette vérité.</w:t>
      </w:r>
    </w:p>
    <w:p>
      <w:r>
        <w:t>Cette séparation est la référence pour la suite du chantier et doit primer sur toute logique legacy existante qui stocke ou recalcule une conséquence géométrique dans l’attachment lui-même.</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SPEC_ATTACHMENTS_RESOLVED_CORE — 14 août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ASSEMBLEUR TRIANGLES — Spécification Core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100"/>
      <w:ind w:left="283" w:right="11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