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DAB2A" w14:textId="4244411A" w:rsidR="004300B4" w:rsidRDefault="00BD4C85">
      <w:pPr>
        <w:pBdr>
          <w:top w:val="nil"/>
          <w:left w:val="nil"/>
          <w:bottom w:val="nil"/>
          <w:right w:val="nil"/>
          <w:between w:val="nil"/>
        </w:pBdr>
        <w:bidi/>
        <w:spacing w:before="525" w:after="750"/>
        <w:ind w:left="450" w:right="450"/>
        <w:jc w:val="center"/>
        <w:rPr>
          <w:rFonts w:hint="cs"/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4F82552A" wp14:editId="0831C8D0">
            <wp:simplePos x="0" y="0"/>
            <wp:positionH relativeFrom="margin">
              <wp:posOffset>-673444</wp:posOffset>
            </wp:positionH>
            <wp:positionV relativeFrom="margin">
              <wp:posOffset>-554990</wp:posOffset>
            </wp:positionV>
            <wp:extent cx="1798320" cy="981710"/>
            <wp:effectExtent l="0" t="0" r="0" b="0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FC48D1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  <w:spacing w:before="150" w:after="375"/>
        <w:ind w:left="450" w:right="450"/>
        <w:jc w:val="center"/>
        <w:rPr>
          <w:b/>
          <w:bCs/>
          <w:color w:val="0096A6"/>
          <w:sz w:val="36"/>
          <w:szCs w:val="36"/>
          <w:highlight w:val="white"/>
        </w:rPr>
      </w:pPr>
      <w:r>
        <w:rPr>
          <w:b/>
          <w:bCs/>
          <w:color w:val="0096A6"/>
          <w:sz w:val="36"/>
          <w:szCs w:val="36"/>
          <w:highlight w:val="white"/>
          <w:rtl/>
        </w:rPr>
        <w:t xml:space="preserve">بنك الآفاق الرقمية | </w:t>
      </w:r>
      <w:r>
        <w:rPr>
          <w:b/>
          <w:bCs/>
          <w:color w:val="0096A6"/>
          <w:sz w:val="36"/>
          <w:szCs w:val="36"/>
          <w:highlight w:val="white"/>
        </w:rPr>
        <w:t>DIGITAL HORIZONS BANK</w:t>
      </w:r>
    </w:p>
    <w:p w14:paraId="12825C9C" w14:textId="77777777" w:rsidR="004300B4" w:rsidRDefault="00061012">
      <w:pPr>
        <w:pStyle w:val="1"/>
        <w:bidi/>
        <w:spacing w:before="0" w:after="225"/>
        <w:ind w:left="300" w:right="300"/>
        <w:jc w:val="center"/>
        <w:rPr>
          <w:color w:val="FFFFFF"/>
          <w:sz w:val="44"/>
          <w:szCs w:val="44"/>
          <w:shd w:val="clear" w:color="auto" w:fill="0096A6"/>
        </w:rPr>
      </w:pPr>
      <w:r>
        <w:rPr>
          <w:color w:val="FFFFFF"/>
          <w:sz w:val="44"/>
          <w:szCs w:val="44"/>
          <w:shd w:val="clear" w:color="auto" w:fill="0096A6"/>
          <w:rtl/>
        </w:rPr>
        <w:t>منهجية تقييم ومعالجة مخاطر أمن المعلومات</w:t>
      </w:r>
    </w:p>
    <w:p w14:paraId="2E27889E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  <w:ind w:left="300" w:right="300"/>
        <w:jc w:val="center"/>
        <w:rPr>
          <w:color w:val="FFFFFF"/>
          <w:sz w:val="24"/>
          <w:szCs w:val="24"/>
          <w:shd w:val="clear" w:color="auto" w:fill="0096A6"/>
        </w:rPr>
      </w:pPr>
      <w:r>
        <w:pict w14:anchorId="165B63CE">
          <v:rect id="_x0000_i1025" style="width:0;height:1.5pt" o:hralign="center" o:hrstd="t" o:hr="t" fillcolor="#a0a0a0" stroked="f"/>
        </w:pict>
      </w:r>
      <w:r>
        <w:rPr>
          <w:color w:val="FFFFFF"/>
          <w:sz w:val="24"/>
          <w:szCs w:val="24"/>
          <w:shd w:val="clear" w:color="auto" w:fill="0096A6"/>
        </w:rPr>
        <w:t>Security Risk Assessment &amp; Treatment Methodology</w:t>
      </w:r>
    </w:p>
    <w:p w14:paraId="7511D341" w14:textId="4E0291FC" w:rsidR="004300B4" w:rsidRDefault="00061012" w:rsidP="00BD4C85">
      <w:pPr>
        <w:pBdr>
          <w:top w:val="nil"/>
          <w:left w:val="nil"/>
          <w:bottom w:val="nil"/>
          <w:right w:val="nil"/>
          <w:between w:val="nil"/>
        </w:pBdr>
        <w:bidi/>
        <w:ind w:left="300" w:right="300"/>
        <w:jc w:val="center"/>
        <w:rPr>
          <w:color w:val="FFFFFF"/>
          <w:sz w:val="20"/>
          <w:szCs w:val="20"/>
          <w:shd w:val="clear" w:color="auto" w:fill="0096A6"/>
          <w:rtl/>
        </w:rPr>
      </w:pPr>
      <w:r>
        <w:rPr>
          <w:color w:val="FFFFFF"/>
          <w:sz w:val="20"/>
          <w:szCs w:val="20"/>
          <w:shd w:val="clear" w:color="auto" w:fill="0096A6"/>
        </w:rPr>
        <w:t>ISO/IEC 27001:2022 ISMS Documentation — Clauses 6.1.2, 6.1.3 &amp; 8.2, 8.3</w:t>
      </w:r>
    </w:p>
    <w:p w14:paraId="53A759BF" w14:textId="77777777" w:rsidR="00BD4C85" w:rsidRPr="00BD4C85" w:rsidRDefault="00BD4C85" w:rsidP="00BD4C85">
      <w:pPr>
        <w:pBdr>
          <w:top w:val="nil"/>
          <w:left w:val="nil"/>
          <w:bottom w:val="nil"/>
          <w:right w:val="nil"/>
          <w:between w:val="nil"/>
        </w:pBdr>
        <w:bidi/>
        <w:ind w:left="300" w:right="300"/>
        <w:jc w:val="center"/>
        <w:rPr>
          <w:color w:val="FFFFFF"/>
          <w:sz w:val="20"/>
          <w:szCs w:val="20"/>
          <w:shd w:val="clear" w:color="auto" w:fill="0096A6"/>
        </w:rPr>
      </w:pPr>
    </w:p>
    <w:tbl>
      <w:tblPr>
        <w:tblStyle w:val="a5"/>
        <w:bidiVisual/>
        <w:tblW w:w="9360" w:type="dxa"/>
        <w:tblInd w:w="0" w:type="dxa"/>
        <w:tblBorders>
          <w:top w:val="single" w:sz="6" w:space="0" w:color="0096A6"/>
          <w:left w:val="single" w:sz="6" w:space="0" w:color="0096A6"/>
          <w:bottom w:val="single" w:sz="6" w:space="0" w:color="0096A6"/>
          <w:right w:val="single" w:sz="6" w:space="0" w:color="0096A6"/>
          <w:insideH w:val="single" w:sz="6" w:space="0" w:color="0096A6"/>
          <w:insideV w:val="single" w:sz="6" w:space="0" w:color="0096A6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4300B4" w14:paraId="75B43D68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2486B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تصنيف الوثيقة (</w:t>
            </w:r>
            <w:r>
              <w:rPr>
                <w:b/>
                <w:bCs/>
                <w:color w:val="FFFFFF"/>
                <w:sz w:val="18"/>
                <w:szCs w:val="18"/>
              </w:rPr>
              <w:t>Classification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1089D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داخلي (</w:t>
            </w:r>
            <w:r>
              <w:rPr>
                <w:sz w:val="18"/>
                <w:szCs w:val="18"/>
              </w:rPr>
              <w:t>Internal</w:t>
            </w:r>
            <w:r>
              <w:rPr>
                <w:sz w:val="18"/>
                <w:szCs w:val="18"/>
                <w:rtl/>
              </w:rPr>
              <w:t>) — لا تُشارك خا</w:t>
            </w:r>
            <w:r>
              <w:rPr>
                <w:sz w:val="18"/>
                <w:szCs w:val="18"/>
                <w:rtl/>
              </w:rPr>
              <w:t>رج البنك إلا بموافقة مالك الوثيقة</w:t>
            </w:r>
          </w:p>
        </w:tc>
      </w:tr>
      <w:tr w:rsidR="004300B4" w14:paraId="13A898D3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4BED6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رمز الوثيقة (</w:t>
            </w:r>
            <w:r>
              <w:rPr>
                <w:b/>
                <w:bCs/>
                <w:color w:val="FFFFFF"/>
                <w:sz w:val="18"/>
                <w:szCs w:val="18"/>
              </w:rPr>
              <w:t>Document Ref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9DB8E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ISMS-RT-01</w:t>
            </w:r>
          </w:p>
        </w:tc>
      </w:tr>
      <w:tr w:rsidR="004300B4" w14:paraId="793E25DB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BA002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الإصدار (</w:t>
            </w: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63FE5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</w:tr>
      <w:tr w:rsidR="004300B4" w14:paraId="38BD623D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F3173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تاريخ آخر تحديث (</w:t>
            </w:r>
            <w:r>
              <w:rPr>
                <w:b/>
                <w:bCs/>
                <w:color w:val="FFFFFF"/>
                <w:sz w:val="18"/>
                <w:szCs w:val="18"/>
              </w:rPr>
              <w:t>Date Last Updated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90262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12 سبتمبر 2026</w:t>
            </w:r>
          </w:p>
        </w:tc>
      </w:tr>
      <w:tr w:rsidR="004300B4" w14:paraId="58C46BED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E82B8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مالك الوثيقة (</w:t>
            </w: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9AE67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مدير أمن المعلومات (</w:t>
            </w:r>
            <w:r>
              <w:rPr>
                <w:sz w:val="18"/>
                <w:szCs w:val="18"/>
              </w:rPr>
              <w:t>CISO</w:t>
            </w:r>
            <w:r>
              <w:rPr>
                <w:sz w:val="18"/>
                <w:szCs w:val="18"/>
                <w:rtl/>
              </w:rPr>
              <w:t>) — الأستاذة سارة الحربي</w:t>
            </w:r>
          </w:p>
        </w:tc>
      </w:tr>
      <w:tr w:rsidR="004300B4" w14:paraId="3DEC7394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6D3A05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الجهة المعتمِدة (</w:t>
            </w:r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779E7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الرئيس التنفيذي (</w:t>
            </w:r>
            <w:r>
              <w:rPr>
                <w:sz w:val="18"/>
                <w:szCs w:val="18"/>
              </w:rPr>
              <w:t>CEO</w:t>
            </w:r>
            <w:r>
              <w:rPr>
                <w:sz w:val="18"/>
                <w:szCs w:val="18"/>
                <w:rtl/>
              </w:rPr>
              <w:t>) — الدكتورة نورة القحطاني ومجلس الإدارة</w:t>
            </w:r>
          </w:p>
        </w:tc>
      </w:tr>
      <w:tr w:rsidR="004300B4" w14:paraId="673A6A46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ACB62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تكرار المراجعة (</w:t>
            </w:r>
            <w:r>
              <w:rPr>
                <w:b/>
                <w:bCs/>
                <w:color w:val="FFFFFF"/>
                <w:sz w:val="18"/>
                <w:szCs w:val="18"/>
              </w:rPr>
              <w:t>Review Frequency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9478B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سنوياً (</w:t>
            </w:r>
            <w:r>
              <w:rPr>
                <w:sz w:val="18"/>
                <w:szCs w:val="18"/>
              </w:rPr>
              <w:t>Annually</w:t>
            </w:r>
            <w:r>
              <w:rPr>
                <w:sz w:val="18"/>
                <w:szCs w:val="18"/>
                <w:rtl/>
              </w:rPr>
              <w:t>) أو عند حدوث تغييرات جوهرية في بيئة المخاطر</w:t>
            </w:r>
          </w:p>
        </w:tc>
      </w:tr>
      <w:tr w:rsidR="004300B4" w14:paraId="7C13D185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BE3E9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تاريخ المراجعة القادمة (</w:t>
            </w:r>
            <w:r>
              <w:rPr>
                <w:b/>
                <w:bCs/>
                <w:color w:val="FFFFFF"/>
                <w:sz w:val="18"/>
                <w:szCs w:val="18"/>
              </w:rPr>
              <w:t>Next Review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32B60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12 سبتمبر 2027</w:t>
            </w:r>
          </w:p>
        </w:tc>
      </w:tr>
    </w:tbl>
    <w:p w14:paraId="1F59DEBE" w14:textId="77777777" w:rsidR="004300B4" w:rsidRDefault="00061012">
      <w:pPr>
        <w:pStyle w:val="2"/>
        <w:bidi/>
      </w:pPr>
      <w:r>
        <w:rPr>
          <w:rtl/>
        </w:rPr>
        <w:t>جدول المحتويات (</w:t>
      </w:r>
      <w:r>
        <w:t>Contents</w:t>
      </w:r>
      <w:r>
        <w:rPr>
          <w:rtl/>
        </w:rPr>
        <w:t>)</w:t>
      </w:r>
    </w:p>
    <w:p w14:paraId="55C2E993" w14:textId="77777777" w:rsidR="004300B4" w:rsidRDefault="000610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1. الغرض من هذه </w:t>
      </w:r>
      <w:r>
        <w:rPr>
          <w:rtl/>
        </w:rPr>
        <w:t>الوثيقة (</w:t>
      </w:r>
      <w:r>
        <w:t>Purpose of This Document</w:t>
      </w:r>
      <w:r>
        <w:rPr>
          <w:rtl/>
        </w:rPr>
        <w:t>)</w:t>
      </w:r>
    </w:p>
    <w:p w14:paraId="3187A257" w14:textId="77777777" w:rsidR="004300B4" w:rsidRDefault="000610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2. سجل المخاطر (</w:t>
      </w:r>
      <w:r>
        <w:t>The Risk Log</w:t>
      </w:r>
      <w:r>
        <w:rPr>
          <w:rtl/>
        </w:rPr>
        <w:t>)</w:t>
      </w:r>
    </w:p>
    <w:p w14:paraId="3B6BB9B3" w14:textId="77777777" w:rsidR="004300B4" w:rsidRDefault="000610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lastRenderedPageBreak/>
        <w:t>3. الأدوار والمسؤوليات (</w:t>
      </w:r>
      <w:r>
        <w:t>Roles &amp; Responsibilities</w:t>
      </w:r>
      <w:r>
        <w:rPr>
          <w:rtl/>
        </w:rPr>
        <w:t>)</w:t>
      </w:r>
    </w:p>
    <w:p w14:paraId="2EBFD68E" w14:textId="77777777" w:rsidR="004300B4" w:rsidRDefault="000610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4. ملخص المنهجية (</w:t>
      </w:r>
      <w:r>
        <w:t>Summary of Approach</w:t>
      </w:r>
      <w:r>
        <w:rPr>
          <w:rtl/>
        </w:rPr>
        <w:t>)</w:t>
      </w:r>
    </w:p>
    <w:p w14:paraId="1096C6DA" w14:textId="77777777" w:rsidR="004300B4" w:rsidRDefault="000610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5. تحديد المخاطر (</w:t>
      </w:r>
      <w:r>
        <w:t>Risk Identification</w:t>
      </w:r>
      <w:r>
        <w:rPr>
          <w:rtl/>
        </w:rPr>
        <w:t>)</w:t>
      </w:r>
    </w:p>
    <w:p w14:paraId="035754B1" w14:textId="77777777" w:rsidR="004300B4" w:rsidRDefault="000610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6. تقييم المخاطر وتصنيفها (</w:t>
      </w:r>
      <w:r>
        <w:t>Risk Assessment &amp; Prioritisation</w:t>
      </w:r>
      <w:r>
        <w:rPr>
          <w:rtl/>
        </w:rPr>
        <w:t>)</w:t>
      </w:r>
    </w:p>
    <w:p w14:paraId="4858C651" w14:textId="77777777" w:rsidR="004300B4" w:rsidRDefault="000610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7.</w:t>
      </w:r>
      <w:r>
        <w:rPr>
          <w:rtl/>
        </w:rPr>
        <w:t xml:space="preserve"> معالجة المخاطر وقبولها (</w:t>
      </w:r>
      <w:r>
        <w:t>Risk Mitigation &amp; Acceptance Criteria</w:t>
      </w:r>
      <w:r>
        <w:rPr>
          <w:rtl/>
        </w:rPr>
        <w:t>)</w:t>
      </w:r>
    </w:p>
    <w:p w14:paraId="10BCFE3A" w14:textId="77777777" w:rsidR="004300B4" w:rsidRDefault="000610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8. خطط المعالجة (</w:t>
      </w:r>
      <w:r>
        <w:t>Treatment Plans</w:t>
      </w:r>
      <w:r>
        <w:rPr>
          <w:rtl/>
        </w:rPr>
        <w:t>)</w:t>
      </w:r>
    </w:p>
    <w:p w14:paraId="3D71A0A8" w14:textId="77777777" w:rsidR="004300B4" w:rsidRDefault="000610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9. التصعيد (</w:t>
      </w:r>
      <w:r>
        <w:t>Escalation</w:t>
      </w:r>
      <w:r>
        <w:rPr>
          <w:rtl/>
        </w:rPr>
        <w:t>)</w:t>
      </w:r>
    </w:p>
    <w:p w14:paraId="4B2D1F9A" w14:textId="77777777" w:rsidR="004300B4" w:rsidRDefault="00061012">
      <w:pPr>
        <w:pStyle w:val="1"/>
        <w:bidi/>
      </w:pPr>
      <w:r>
        <w:rPr>
          <w:rtl/>
        </w:rPr>
        <w:t>1. الغرض من هذه الوثيقة (</w:t>
      </w:r>
      <w:r>
        <w:t>Purpose of This Document</w:t>
      </w:r>
      <w:r>
        <w:rPr>
          <w:rtl/>
        </w:rPr>
        <w:t>)</w:t>
      </w:r>
    </w:p>
    <w:p w14:paraId="1D22373B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  <w:spacing w:after="375"/>
      </w:pPr>
      <w:r>
        <w:pict w14:anchorId="4B1096A6">
          <v:rect id="_x0000_i1026" style="width:0;height:1.5pt" o:hralign="center" o:hrstd="t" o:hr="t" fillcolor="#a0a0a0" stroked="f"/>
        </w:pict>
      </w:r>
      <w:r>
        <w:rPr>
          <w:rtl/>
        </w:rPr>
        <w:t xml:space="preserve">تحدد هذه الوثيقة المنهجية العامة والشاملة لإدارة وتقييم ومعالجة مخاطر أمن </w:t>
      </w:r>
      <w:r>
        <w:rPr>
          <w:rtl/>
        </w:rPr>
        <w:t xml:space="preserve">المعلومات في </w:t>
      </w:r>
      <w:r>
        <w:rPr>
          <w:b/>
          <w:bCs/>
          <w:rtl/>
        </w:rPr>
        <w:t>بنك الآفاق الرقمية</w:t>
      </w:r>
      <w:r>
        <w:t xml:space="preserve"> [cite</w:t>
      </w:r>
      <w:r>
        <w:rPr>
          <w:rtl/>
        </w:rPr>
        <w:t>: 2, 8]. تُعد هذه المنهجية بمثابة الدليل الإرشادي المعتمد لإدارة المكونات الحيوية لأمن المعلومات والبيانات المالية والمصرفية بالبنك [</w:t>
      </w:r>
      <w:r>
        <w:t>cite</w:t>
      </w:r>
      <w:r>
        <w:rPr>
          <w:rtl/>
        </w:rPr>
        <w:t>: 2, 8]. المستند موجه لكافة الموظفين، المدققين، الموردين، والعملاء، وتتوافق مع سيا</w:t>
      </w:r>
      <w:r>
        <w:rPr>
          <w:rtl/>
        </w:rPr>
        <w:t xml:space="preserve">سات وإجراءات </w:t>
      </w:r>
      <w:r>
        <w:t>ISMS</w:t>
      </w:r>
      <w:r>
        <w:rPr>
          <w:rtl/>
        </w:rPr>
        <w:t xml:space="preserve"> المعتمدة [</w:t>
      </w:r>
      <w:r>
        <w:t>cite</w:t>
      </w:r>
      <w:r>
        <w:rPr>
          <w:rtl/>
        </w:rPr>
        <w:t>: 2, 8].</w:t>
      </w:r>
    </w:p>
    <w:p w14:paraId="44AD9592" w14:textId="77777777" w:rsidR="004300B4" w:rsidRDefault="00061012">
      <w:pPr>
        <w:pStyle w:val="1"/>
        <w:bidi/>
        <w:spacing w:before="0"/>
      </w:pPr>
      <w:r>
        <w:rPr>
          <w:rtl/>
        </w:rPr>
        <w:t>2. سجل المخاطر (</w:t>
      </w:r>
      <w:r>
        <w:t>The Risk Log</w:t>
      </w:r>
      <w:r>
        <w:rPr>
          <w:rtl/>
        </w:rPr>
        <w:t>)</w:t>
      </w:r>
    </w:p>
    <w:p w14:paraId="524FD249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</w:pPr>
      <w:r>
        <w:pict w14:anchorId="56703CB7">
          <v:rect id="_x0000_i1027" style="width:0;height:1.5pt" o:hralign="center" o:hrstd="t" o:hr="t" fillcolor="#a0a0a0" stroked="f"/>
        </w:pict>
      </w:r>
      <w:r>
        <w:rPr>
          <w:rtl/>
        </w:rPr>
        <w:t>يتم حفظ وإدارة سجل مخاطر أمن المعلومات الخاص ببنك الآفاق الرقمية في الموقع الموحد المعتمد [</w:t>
      </w:r>
      <w:r>
        <w:t>cite</w:t>
      </w:r>
      <w:r>
        <w:rPr>
          <w:rtl/>
        </w:rPr>
        <w:t>: 8]:</w:t>
      </w:r>
    </w:p>
    <w:p w14:paraId="5B4328F6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</w:pPr>
      <w:r>
        <w:t>\\DHB-FS01\ISMS_Central_Repository\Risk_Management\DHB_ISMS_Risk_Register_2026.xlsx [cite: 2, 8]</w:t>
      </w:r>
    </w:p>
    <w:p w14:paraId="3A875B88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  <w:rPr>
          <w:b/>
          <w:bCs/>
        </w:rPr>
      </w:pPr>
      <w:r>
        <w:rPr>
          <w:b/>
          <w:bCs/>
          <w:rtl/>
        </w:rPr>
        <w:t>يقتصر حق الوصول والتعديل على سجل المخاطر على:</w:t>
      </w:r>
    </w:p>
    <w:p w14:paraId="75CF350A" w14:textId="77777777" w:rsidR="004300B4" w:rsidRDefault="000610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صلاحية تعديل وإدارة كاملة (</w:t>
      </w:r>
      <w:r>
        <w:rPr>
          <w:b/>
          <w:bCs/>
        </w:rPr>
        <w:t>Full Control):</w:t>
      </w:r>
      <w:r>
        <w:rPr>
          <w:rtl/>
        </w:rPr>
        <w:t xml:space="preserve"> مدير أمن المعلومات (</w:t>
      </w:r>
      <w:r>
        <w:t>CISO</w:t>
      </w:r>
      <w:r>
        <w:rPr>
          <w:rtl/>
        </w:rPr>
        <w:t xml:space="preserve"> - أ. سارة الحربي) وأخصائيو تقييم المخاطر والثغ</w:t>
      </w:r>
      <w:r>
        <w:rPr>
          <w:rtl/>
        </w:rPr>
        <w:t>رات بإدارة أمن المعلومات [</w:t>
      </w:r>
      <w:r>
        <w:t>cite</w:t>
      </w:r>
      <w:r>
        <w:rPr>
          <w:rtl/>
        </w:rPr>
        <w:t>: 2, 8].</w:t>
      </w:r>
    </w:p>
    <w:p w14:paraId="2932A929" w14:textId="77777777" w:rsidR="004300B4" w:rsidRDefault="000610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صلاحية قراءة ومراجعة (</w:t>
      </w:r>
      <w:r>
        <w:rPr>
          <w:b/>
          <w:bCs/>
        </w:rPr>
        <w:t>Read-Only):</w:t>
      </w:r>
      <w:r>
        <w:rPr>
          <w:rtl/>
        </w:rPr>
        <w:t xml:space="preserve"> الرئيس التنفيذي، لجنة المخاطر المؤسسية، مالكو المخاطر (إدارة تقنية المعلومات، العمليات المصرفية، الموارد البشرية، الشؤون القانونية)، وإدارة المراجعة الداخلية [</w:t>
      </w:r>
      <w:r>
        <w:t>cite</w:t>
      </w:r>
      <w:r>
        <w:rPr>
          <w:rtl/>
        </w:rPr>
        <w:t>: 2, 8].</w:t>
      </w:r>
    </w:p>
    <w:p w14:paraId="17904C5C" w14:textId="77777777" w:rsidR="004300B4" w:rsidRDefault="00061012">
      <w:pPr>
        <w:pStyle w:val="1"/>
        <w:bidi/>
      </w:pPr>
      <w:r>
        <w:rPr>
          <w:rtl/>
        </w:rPr>
        <w:t xml:space="preserve">3. الأدوار </w:t>
      </w:r>
      <w:r>
        <w:rPr>
          <w:rtl/>
        </w:rPr>
        <w:t>والمسؤوليات (</w:t>
      </w:r>
      <w:r>
        <w:t>Roles &amp; Responsibilities</w:t>
      </w:r>
      <w:r>
        <w:rPr>
          <w:rtl/>
        </w:rPr>
        <w:t>)</w:t>
      </w:r>
    </w:p>
    <w:p w14:paraId="15CE1D52" w14:textId="77777777" w:rsidR="004300B4" w:rsidRDefault="00061012">
      <w:pPr>
        <w:pStyle w:val="3"/>
        <w:bidi/>
        <w:spacing w:before="0"/>
      </w:pPr>
      <w:r>
        <w:pict w14:anchorId="2AD60D3A">
          <v:rect id="_x0000_i1028" style="width:0;height:1.5pt" o:hralign="center" o:hrstd="t" o:hr="t" fillcolor="#a0a0a0" stroked="f"/>
        </w:pict>
      </w:r>
      <w:r>
        <w:rPr>
          <w:rtl/>
        </w:rPr>
        <w:t>مجموعة / لجنة أمن المعلومات (</w:t>
      </w:r>
      <w:r>
        <w:t>Information Security Group - ISG</w:t>
      </w:r>
      <w:r>
        <w:rPr>
          <w:rtl/>
        </w:rPr>
        <w:t>):</w:t>
      </w:r>
    </w:p>
    <w:p w14:paraId="1F479999" w14:textId="77777777" w:rsidR="004300B4" w:rsidRDefault="000610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إقرار وتأسيس سياسة إدارة مخاطر البنك، أهدافها، ومستوى الرغبة في المخاطرة (</w:t>
      </w:r>
      <w:r>
        <w:t>Risk Appetite) [cite</w:t>
      </w:r>
      <w:r>
        <w:rPr>
          <w:rtl/>
        </w:rPr>
        <w:t>: 8].</w:t>
      </w:r>
    </w:p>
    <w:p w14:paraId="18DC4F03" w14:textId="77777777" w:rsidR="004300B4" w:rsidRDefault="000610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تخصيص الميزانيات والموارد اللازمة (ضمن </w:t>
      </w:r>
      <w:r>
        <w:rPr>
          <w:rtl/>
        </w:rPr>
        <w:t>ميزانية أمن المعلومات البالغة 12-18 مليون ريال سعودي) لدعم تنفيذ خطة معالجة المخاطر [</w:t>
      </w:r>
      <w:r>
        <w:t>cite</w:t>
      </w:r>
      <w:r>
        <w:rPr>
          <w:rtl/>
        </w:rPr>
        <w:t>: 2, 8].</w:t>
      </w:r>
    </w:p>
    <w:p w14:paraId="56CFE40E" w14:textId="77777777" w:rsidR="004300B4" w:rsidRDefault="000610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ضمان اتساق أنشطة معالجة المخاطر مع الأهداف الاستراتيجية لبنك الآفاق الرقمية والمتطلبات التنظيمية للبنك المركزي السعودي (ساما) [</w:t>
      </w:r>
      <w:r>
        <w:t>cite</w:t>
      </w:r>
      <w:r>
        <w:rPr>
          <w:rtl/>
        </w:rPr>
        <w:t>: 2, 8].</w:t>
      </w:r>
    </w:p>
    <w:p w14:paraId="006CCF3F" w14:textId="77777777" w:rsidR="004300B4" w:rsidRDefault="00061012">
      <w:pPr>
        <w:pStyle w:val="3"/>
        <w:bidi/>
      </w:pPr>
      <w:r>
        <w:rPr>
          <w:rtl/>
        </w:rPr>
        <w:lastRenderedPageBreak/>
        <w:t>مالكو المخاطر (</w:t>
      </w:r>
      <w:r>
        <w:t>Ris</w:t>
      </w:r>
      <w:r>
        <w:t>k Owners</w:t>
      </w:r>
      <w:r>
        <w:rPr>
          <w:rtl/>
        </w:rPr>
        <w:t>):</w:t>
      </w:r>
    </w:p>
    <w:p w14:paraId="6957556A" w14:textId="77777777" w:rsidR="004300B4" w:rsidRDefault="000610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تحديد وتقييم المخاطر المرتبطة بنطاق مسؤولياتهم (مثل: مدير </w:t>
      </w:r>
      <w:r>
        <w:t>IT</w:t>
      </w:r>
      <w:r>
        <w:rPr>
          <w:rtl/>
        </w:rPr>
        <w:t xml:space="preserve"> للأصول التقنية، مدير الموارد البشرية لبيانات الموظفين) [</w:t>
      </w:r>
      <w:r>
        <w:t>cite</w:t>
      </w:r>
      <w:r>
        <w:rPr>
          <w:rtl/>
        </w:rPr>
        <w:t>: 2, 8].</w:t>
      </w:r>
    </w:p>
    <w:p w14:paraId="56749FD2" w14:textId="77777777" w:rsidR="004300B4" w:rsidRDefault="000610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تحديد الخيارات المناسبة لمعالجة المخاطر (الحد/التخفيف، التجنيب، النقل، أو القبول) استناداً إلى معايير الرغبة في الم</w:t>
      </w:r>
      <w:r>
        <w:rPr>
          <w:rtl/>
        </w:rPr>
        <w:t>خاطرة لدى البنك [</w:t>
      </w:r>
      <w:r>
        <w:t>cite</w:t>
      </w:r>
      <w:r>
        <w:rPr>
          <w:rtl/>
        </w:rPr>
        <w:t>: 8].</w:t>
      </w:r>
    </w:p>
    <w:p w14:paraId="53241833" w14:textId="77777777" w:rsidR="004300B4" w:rsidRDefault="000610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متابعة وتنفيذ خطط المعالجة وتقديم تقارير دورية عن التقدم المالي والتقني [</w:t>
      </w:r>
      <w:r>
        <w:t>cite</w:t>
      </w:r>
      <w:r>
        <w:rPr>
          <w:rtl/>
        </w:rPr>
        <w:t>: 8].</w:t>
      </w:r>
    </w:p>
    <w:p w14:paraId="2AC13F5C" w14:textId="77777777" w:rsidR="004300B4" w:rsidRDefault="00061012">
      <w:pPr>
        <w:pStyle w:val="3"/>
        <w:bidi/>
      </w:pPr>
      <w:r>
        <w:rPr>
          <w:rtl/>
        </w:rPr>
        <w:t>مسؤول / مدير أمن المعلومات (</w:t>
      </w:r>
      <w:r>
        <w:t>Information Security Officer - CISO</w:t>
      </w:r>
      <w:r>
        <w:rPr>
          <w:rtl/>
        </w:rPr>
        <w:t>):</w:t>
      </w:r>
    </w:p>
    <w:p w14:paraId="52A8764D" w14:textId="77777777" w:rsidR="004300B4" w:rsidRDefault="000610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تطوير وتحديث منهجية تقييم ومعالجة المخاطر والنماذج والأدوات التابعة لها [</w:t>
      </w:r>
      <w:r>
        <w:t>cite</w:t>
      </w:r>
      <w:r>
        <w:rPr>
          <w:rtl/>
        </w:rPr>
        <w:t>: 8].</w:t>
      </w:r>
    </w:p>
    <w:p w14:paraId="23CF458F" w14:textId="77777777" w:rsidR="004300B4" w:rsidRDefault="000610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تقديم الدعم التخصصي والإرشاد لمالكي المخاطر والأطراف المعنية في البنك [</w:t>
      </w:r>
      <w:r>
        <w:t>cite</w:t>
      </w:r>
      <w:r>
        <w:rPr>
          <w:rtl/>
        </w:rPr>
        <w:t>: 8].</w:t>
      </w:r>
    </w:p>
    <w:p w14:paraId="61AC53C4" w14:textId="77777777" w:rsidR="004300B4" w:rsidRDefault="000610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مراقبة فاعلية وتقدم عملية معالجة المخاطر ورفع التقارير الدورية للإدارة العليا (</w:t>
      </w:r>
      <w:r>
        <w:t>CEO</w:t>
      </w:r>
      <w:r>
        <w:rPr>
          <w:rtl/>
        </w:rPr>
        <w:t>) ولجنة المخاطر [</w:t>
      </w:r>
      <w:r>
        <w:t>cite</w:t>
      </w:r>
      <w:r>
        <w:rPr>
          <w:rtl/>
        </w:rPr>
        <w:t>: 2, 8].</w:t>
      </w:r>
    </w:p>
    <w:p w14:paraId="2B1677B9" w14:textId="77777777" w:rsidR="004300B4" w:rsidRDefault="000610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تنسيق أنشطة معالجة المخاطر السيبرانية </w:t>
      </w:r>
      <w:r>
        <w:rPr>
          <w:rtl/>
        </w:rPr>
        <w:t>المتقاطعة بين الإدارات المختلفة [</w:t>
      </w:r>
      <w:r>
        <w:t>cite</w:t>
      </w:r>
      <w:r>
        <w:rPr>
          <w:rtl/>
        </w:rPr>
        <w:t>: 8].</w:t>
      </w:r>
    </w:p>
    <w:p w14:paraId="17FBAECE" w14:textId="77777777" w:rsidR="004300B4" w:rsidRDefault="00061012">
      <w:pPr>
        <w:pStyle w:val="1"/>
        <w:bidi/>
      </w:pPr>
      <w:r>
        <w:rPr>
          <w:rtl/>
        </w:rPr>
        <w:t>4. ملخص المنهجية (</w:t>
      </w:r>
      <w:r>
        <w:t>Summary of Approach</w:t>
      </w:r>
      <w:r>
        <w:rPr>
          <w:rtl/>
        </w:rPr>
        <w:t>)</w:t>
      </w:r>
    </w:p>
    <w:p w14:paraId="2D6DC9F6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  <w:spacing w:after="225"/>
      </w:pPr>
      <w:r>
        <w:pict w14:anchorId="70C62E41">
          <v:rect id="_x0000_i1029" style="width:0;height:1.5pt" o:hralign="center" o:hrstd="t" o:hr="t" fillcolor="#a0a0a0" stroked="f"/>
        </w:pict>
      </w:r>
      <w:r>
        <w:rPr>
          <w:rtl/>
        </w:rPr>
        <w:t>تعتمد عملية إدارة المخاطر في بنك الآفاق الرقمية على 5 خطوات متسلسلة ودورية [</w:t>
      </w:r>
      <w:r>
        <w:t>cite</w:t>
      </w:r>
      <w:r>
        <w:rPr>
          <w:rtl/>
        </w:rPr>
        <w:t>: 8]:</w:t>
      </w:r>
    </w:p>
    <w:p w14:paraId="67E9B3E3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  <w:ind w:left="225" w:right="225"/>
        <w:jc w:val="center"/>
        <w:rPr>
          <w:b/>
          <w:bCs/>
          <w:shd w:val="clear" w:color="auto" w:fill="E0F2F1"/>
        </w:rPr>
      </w:pPr>
      <w:r>
        <w:rPr>
          <w:b/>
          <w:bCs/>
          <w:shd w:val="clear" w:color="auto" w:fill="E0F2F1"/>
          <w:rtl/>
        </w:rPr>
        <w:t>1. تحديد المخاطر (</w:t>
      </w:r>
      <w:r>
        <w:rPr>
          <w:b/>
          <w:bCs/>
          <w:shd w:val="clear" w:color="auto" w:fill="E0F2F1"/>
        </w:rPr>
        <w:t>Risk Identification</w:t>
      </w:r>
      <w:r>
        <w:rPr>
          <w:rFonts w:ascii="Arial Unicode MS" w:eastAsia="Arial Unicode MS" w:hAnsi="Arial Unicode MS" w:cs="Arial Unicode MS"/>
          <w:b/>
          <w:bCs/>
          <w:shd w:val="clear" w:color="auto" w:fill="E0F2F1"/>
          <w:rtl/>
        </w:rPr>
        <w:t xml:space="preserve">) ← 2. </w:t>
      </w:r>
      <w:r>
        <w:rPr>
          <w:b/>
          <w:bCs/>
          <w:shd w:val="clear" w:color="auto" w:fill="E0F2F1"/>
          <w:rtl/>
        </w:rPr>
        <w:t>تقييم المخاطر (</w:t>
      </w:r>
      <w:r>
        <w:rPr>
          <w:b/>
          <w:bCs/>
          <w:shd w:val="clear" w:color="auto" w:fill="E0F2F1"/>
        </w:rPr>
        <w:t>Risk Assessment</w:t>
      </w:r>
      <w:r>
        <w:rPr>
          <w:rFonts w:ascii="Arial Unicode MS" w:eastAsia="Arial Unicode MS" w:hAnsi="Arial Unicode MS" w:cs="Arial Unicode MS"/>
          <w:b/>
          <w:bCs/>
          <w:shd w:val="clear" w:color="auto" w:fill="E0F2F1"/>
          <w:rtl/>
        </w:rPr>
        <w:t xml:space="preserve">) ← 3. </w:t>
      </w:r>
      <w:r>
        <w:rPr>
          <w:b/>
          <w:bCs/>
          <w:shd w:val="clear" w:color="auto" w:fill="E0F2F1"/>
          <w:rtl/>
        </w:rPr>
        <w:t xml:space="preserve">تحديد </w:t>
      </w:r>
      <w:r>
        <w:rPr>
          <w:b/>
          <w:bCs/>
          <w:shd w:val="clear" w:color="auto" w:fill="E0F2F1"/>
          <w:rtl/>
        </w:rPr>
        <w:t>أولوية المخاطر (</w:t>
      </w:r>
      <w:r>
        <w:rPr>
          <w:b/>
          <w:bCs/>
          <w:shd w:val="clear" w:color="auto" w:fill="E0F2F1"/>
        </w:rPr>
        <w:t>Risk Prioritisation</w:t>
      </w:r>
      <w:r>
        <w:rPr>
          <w:b/>
          <w:bCs/>
          <w:shd w:val="clear" w:color="auto" w:fill="E0F2F1"/>
          <w:rtl/>
        </w:rPr>
        <w:t>)</w:t>
      </w:r>
    </w:p>
    <w:p w14:paraId="0BA6FD49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  <w:ind w:left="225" w:right="225"/>
        <w:jc w:val="center"/>
        <w:rPr>
          <w:b/>
          <w:bCs/>
          <w:shd w:val="clear" w:color="auto" w:fill="E0F2F1"/>
        </w:rPr>
      </w:pPr>
      <w:r>
        <w:rPr>
          <w:rFonts w:ascii="Arial Unicode MS" w:eastAsia="Arial Unicode MS" w:hAnsi="Arial Unicode MS" w:cs="Arial Unicode MS"/>
          <w:b/>
          <w:bCs/>
          <w:shd w:val="clear" w:color="auto" w:fill="E0F2F1"/>
        </w:rPr>
        <w:t>↓</w:t>
      </w:r>
    </w:p>
    <w:p w14:paraId="204F89A0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  <w:spacing w:before="180" w:after="555"/>
        <w:ind w:left="225" w:right="225"/>
        <w:jc w:val="center"/>
        <w:rPr>
          <w:b/>
          <w:bCs/>
          <w:shd w:val="clear" w:color="auto" w:fill="E0F2F1"/>
        </w:rPr>
      </w:pPr>
      <w:r>
        <w:rPr>
          <w:b/>
          <w:bCs/>
          <w:shd w:val="clear" w:color="auto" w:fill="E0F2F1"/>
          <w:rtl/>
        </w:rPr>
        <w:t>4. معالجة المخاطر (</w:t>
      </w:r>
      <w:r>
        <w:rPr>
          <w:b/>
          <w:bCs/>
          <w:shd w:val="clear" w:color="auto" w:fill="E0F2F1"/>
        </w:rPr>
        <w:t>Risk Mitigation</w:t>
      </w:r>
      <w:r>
        <w:rPr>
          <w:rFonts w:ascii="Arial Unicode MS" w:eastAsia="Arial Unicode MS" w:hAnsi="Arial Unicode MS" w:cs="Arial Unicode MS"/>
          <w:b/>
          <w:bCs/>
          <w:shd w:val="clear" w:color="auto" w:fill="E0F2F1"/>
          <w:rtl/>
        </w:rPr>
        <w:t xml:space="preserve">) → 5. </w:t>
      </w:r>
      <w:r>
        <w:rPr>
          <w:b/>
          <w:bCs/>
          <w:shd w:val="clear" w:color="auto" w:fill="E0F2F1"/>
          <w:rtl/>
        </w:rPr>
        <w:t>مراقبة ومراجعة المخاطر (</w:t>
      </w:r>
      <w:r>
        <w:rPr>
          <w:b/>
          <w:bCs/>
          <w:shd w:val="clear" w:color="auto" w:fill="E0F2F1"/>
        </w:rPr>
        <w:t>Risk Monitor</w:t>
      </w:r>
      <w:r>
        <w:rPr>
          <w:b/>
          <w:bCs/>
          <w:shd w:val="clear" w:color="auto" w:fill="E0F2F1"/>
          <w:rtl/>
        </w:rPr>
        <w:t>)</w:t>
      </w:r>
    </w:p>
    <w:p w14:paraId="265F8A21" w14:textId="77777777" w:rsidR="004300B4" w:rsidRDefault="00061012">
      <w:pPr>
        <w:pStyle w:val="1"/>
        <w:bidi/>
        <w:spacing w:before="0"/>
      </w:pPr>
      <w:r>
        <w:rPr>
          <w:rtl/>
        </w:rPr>
        <w:t>5. تحديد المخاطر (</w:t>
      </w:r>
      <w:r>
        <w:t>Risk Identification</w:t>
      </w:r>
      <w:r>
        <w:rPr>
          <w:rtl/>
        </w:rPr>
        <w:t>)</w:t>
      </w:r>
    </w:p>
    <w:p w14:paraId="3A42E702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</w:pPr>
      <w:r>
        <w:pict w14:anchorId="7DE958B0">
          <v:rect id="_x0000_i1030" style="width:0;height:1.5pt" o:hralign="center" o:hrstd="t" o:hr="t" fillcolor="#a0a0a0" stroked="f"/>
        </w:pict>
      </w:r>
      <w:r>
        <w:rPr>
          <w:rtl/>
        </w:rPr>
        <w:t>يتم تحديد مخاطر أمن المعلومات في بنك الآفاق الرقمية عبر مصادر ومنهجيات متعددة تشمل [</w:t>
      </w:r>
      <w:r>
        <w:t>cite</w:t>
      </w:r>
      <w:r>
        <w:rPr>
          <w:rtl/>
        </w:rPr>
        <w:t>: 2, 8]:</w:t>
      </w:r>
    </w:p>
    <w:p w14:paraId="33A51B75" w14:textId="77777777" w:rsidR="004300B4" w:rsidRDefault="00061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المراجعة السنوية لسياق المؤسسة:</w:t>
      </w:r>
      <w:r>
        <w:rPr>
          <w:rtl/>
        </w:rPr>
        <w:t xml:space="preserve"> مراجعة المتطلبات القانونية والتنظيمية (ساما، </w:t>
      </w:r>
      <w:r>
        <w:t>NCA</w:t>
      </w:r>
      <w:r>
        <w:rPr>
          <w:rtl/>
        </w:rPr>
        <w:t>، سدايا) والتحولات في الخدمات المصرفية الرقمية [</w:t>
      </w:r>
      <w:r>
        <w:t>cite</w:t>
      </w:r>
      <w:r>
        <w:rPr>
          <w:rtl/>
        </w:rPr>
        <w:t>: 2, 8].</w:t>
      </w:r>
    </w:p>
    <w:p w14:paraId="601B2846" w14:textId="77777777" w:rsidR="004300B4" w:rsidRDefault="00061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رصد التهديدات الناشئة (</w:t>
      </w:r>
      <w:r>
        <w:rPr>
          <w:b/>
          <w:bCs/>
        </w:rPr>
        <w:t>Threat Intelligence):</w:t>
      </w:r>
      <w:r>
        <w:rPr>
          <w:rtl/>
        </w:rPr>
        <w:t xml:space="preserve"> متابعة التنبيهات الأمنية الصادرة عن الهيئة الوطنية للأمن </w:t>
      </w:r>
      <w:r>
        <w:rPr>
          <w:rtl/>
        </w:rPr>
        <w:t>السيبراني، الشركات الموردة (</w:t>
      </w:r>
      <w:r>
        <w:t>Palo Alto, Trend Micro, Qualys</w:t>
      </w:r>
      <w:r>
        <w:rPr>
          <w:rtl/>
        </w:rPr>
        <w:t>)، ومصادر التهديدات المالية [</w:t>
      </w:r>
      <w:r>
        <w:t>cite</w:t>
      </w:r>
      <w:r>
        <w:rPr>
          <w:rtl/>
        </w:rPr>
        <w:t>: 2, 8].</w:t>
      </w:r>
    </w:p>
    <w:p w14:paraId="0CE4FE4B" w14:textId="77777777" w:rsidR="004300B4" w:rsidRDefault="00061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 xml:space="preserve">تحليل </w:t>
      </w:r>
      <w:r>
        <w:rPr>
          <w:b/>
          <w:bCs/>
        </w:rPr>
        <w:t>SWOT:</w:t>
      </w:r>
      <w:r>
        <w:rPr>
          <w:rtl/>
        </w:rPr>
        <w:t xml:space="preserve"> إجراء تقييم سنوي لنقاط القوة، الضعف، الفرص، والتهديدات التقنية والتشغيلية للبنك [</w:t>
      </w:r>
      <w:r>
        <w:t>cite</w:t>
      </w:r>
      <w:r>
        <w:rPr>
          <w:rtl/>
        </w:rPr>
        <w:t>: 8].</w:t>
      </w:r>
    </w:p>
    <w:p w14:paraId="47FC3632" w14:textId="77777777" w:rsidR="004300B4" w:rsidRDefault="00061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مشاركة الأطراف المعنية:</w:t>
      </w:r>
      <w:r>
        <w:rPr>
          <w:rtl/>
        </w:rPr>
        <w:t xml:space="preserve"> مرئيات وبلاغات الموظفين عبر ن</w:t>
      </w:r>
      <w:r>
        <w:rPr>
          <w:rtl/>
        </w:rPr>
        <w:t>ظام التذاكر الموحد (</w:t>
      </w:r>
      <w:r>
        <w:t>Jira</w:t>
      </w:r>
      <w:r>
        <w:rPr>
          <w:rtl/>
        </w:rPr>
        <w:t>) وملاحظات المراجعة الداخلية [</w:t>
      </w:r>
      <w:r>
        <w:t>cite</w:t>
      </w:r>
      <w:r>
        <w:rPr>
          <w:rtl/>
        </w:rPr>
        <w:t>: 2, 8].</w:t>
      </w:r>
    </w:p>
    <w:p w14:paraId="31B809C9" w14:textId="77777777" w:rsidR="004300B4" w:rsidRDefault="00061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التدقيق واختبارات الاختراق:</w:t>
      </w:r>
      <w:r>
        <w:rPr>
          <w:rtl/>
        </w:rPr>
        <w:t xml:space="preserve"> نتائج فحوصات الثغرات الربع سنوية من الاستشاري الخارجي واختبارات اختراق تطبيق "آفاق بلس" والموقع الإلكتروني [</w:t>
      </w:r>
      <w:r>
        <w:t>cite</w:t>
      </w:r>
      <w:r>
        <w:rPr>
          <w:rtl/>
        </w:rPr>
        <w:t>: 2, 8].</w:t>
      </w:r>
    </w:p>
    <w:p w14:paraId="7C5C33E4" w14:textId="77777777" w:rsidR="004300B4" w:rsidRDefault="00061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lastRenderedPageBreak/>
        <w:t>تحليل الحوادث السابقة:</w:t>
      </w:r>
      <w:r>
        <w:rPr>
          <w:rtl/>
        </w:rPr>
        <w:t xml:space="preserve"> دراسة </w:t>
      </w:r>
      <w:r>
        <w:rPr>
          <w:rtl/>
        </w:rPr>
        <w:t xml:space="preserve">الحوادث الفعلية التي تعرض لها البنك (انقطاع الخدمة المصرفية، التصيد الاحتيالي بالمالية، فقدان محمول غير مشفر، انتهاء شهادة </w:t>
      </w:r>
      <w:r>
        <w:t>SSL</w:t>
      </w:r>
      <w:r>
        <w:rPr>
          <w:rtl/>
        </w:rPr>
        <w:t xml:space="preserve">، وصلاحيات مجلدات </w:t>
      </w:r>
      <w:r>
        <w:t>HR</w:t>
      </w:r>
      <w:r>
        <w:rPr>
          <w:rtl/>
        </w:rPr>
        <w:t xml:space="preserve"> الموروثة) [</w:t>
      </w:r>
      <w:r>
        <w:t>cite</w:t>
      </w:r>
      <w:r>
        <w:rPr>
          <w:rtl/>
        </w:rPr>
        <w:t>: 2, 8].</w:t>
      </w:r>
    </w:p>
    <w:p w14:paraId="783FA3CA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  <w:spacing w:after="375"/>
      </w:pPr>
      <w:r>
        <w:rPr>
          <w:rtl/>
        </w:rPr>
        <w:t>يتم تسجيل جميع المخاطر المكتشفة في سجل المخاطر المركزي (</w:t>
      </w:r>
      <w:r>
        <w:t>Risk Log</w:t>
      </w:r>
      <w:r>
        <w:rPr>
          <w:rtl/>
        </w:rPr>
        <w:t>)، والذي يعتبر المصدر</w:t>
      </w:r>
      <w:r>
        <w:rPr>
          <w:rtl/>
        </w:rPr>
        <w:t xml:space="preserve"> الوحيد والحقيقي لجميع تفاصيل وخطط معالجة المخاطر [</w:t>
      </w:r>
      <w:r>
        <w:t>cite</w:t>
      </w:r>
      <w:r>
        <w:rPr>
          <w:rtl/>
        </w:rPr>
        <w:t>: 8].</w:t>
      </w:r>
    </w:p>
    <w:p w14:paraId="3C7B873A" w14:textId="77777777" w:rsidR="004300B4" w:rsidRDefault="00061012">
      <w:pPr>
        <w:pStyle w:val="1"/>
        <w:bidi/>
        <w:spacing w:before="0"/>
      </w:pPr>
      <w:r>
        <w:rPr>
          <w:rtl/>
        </w:rPr>
        <w:t>6. تقييم المخاطر وتصنيفها (</w:t>
      </w:r>
      <w:r>
        <w:t>Risk Assessment &amp; Prioritisation</w:t>
      </w:r>
      <w:r>
        <w:rPr>
          <w:rtl/>
        </w:rPr>
        <w:t>)</w:t>
      </w:r>
    </w:p>
    <w:p w14:paraId="69FF85DF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  <w:spacing w:after="225"/>
      </w:pPr>
      <w:r>
        <w:pict w14:anchorId="7BFC597C">
          <v:rect id="_x0000_i1031" style="width:0;height:1.5pt" o:hralign="center" o:hrstd="t" o:hr="t" fillcolor="#a0a0a0" stroked="f"/>
        </w:pict>
      </w:r>
      <w:r>
        <w:rPr>
          <w:rtl/>
        </w:rPr>
        <w:t>تُقيم المخاطر بناءً على حاصل ضرب **الاحتمالية (</w:t>
      </w:r>
      <w:r>
        <w:t>Likelihood</w:t>
      </w:r>
      <w:r>
        <w:rPr>
          <w:rtl/>
        </w:rPr>
        <w:t>) × الأثر (</w:t>
      </w:r>
      <w:r>
        <w:t>Impact)** [cite</w:t>
      </w:r>
      <w:r>
        <w:rPr>
          <w:rtl/>
        </w:rPr>
        <w:t>: 8].</w:t>
      </w:r>
    </w:p>
    <w:p w14:paraId="0ABFB8FF" w14:textId="77777777" w:rsidR="004300B4" w:rsidRDefault="00061012">
      <w:pPr>
        <w:pStyle w:val="3"/>
        <w:bidi/>
        <w:spacing w:before="0" w:after="225"/>
      </w:pPr>
      <w:r>
        <w:rPr>
          <w:rtl/>
        </w:rPr>
        <w:t>مقياس الاحتمالية (</w:t>
      </w:r>
      <w:r>
        <w:t>Likelihood Scale - 1 to</w:t>
      </w:r>
      <w:r>
        <w:rPr>
          <w:rtl/>
        </w:rPr>
        <w:t xml:space="preserve"> 5)</w:t>
      </w:r>
      <w:r>
        <w:rPr>
          <w:rtl/>
        </w:rPr>
        <w:t>:</w:t>
      </w:r>
    </w:p>
    <w:tbl>
      <w:tblPr>
        <w:tblStyle w:val="a6"/>
        <w:bidiVisual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300B4" w14:paraId="36D72EE1" w14:textId="77777777">
        <w:trPr>
          <w:tblHeader/>
        </w:trPr>
        <w:tc>
          <w:tcPr>
            <w:tcW w:w="312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28C136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الوصف (</w:t>
            </w: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8925C2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الدرجة (</w:t>
            </w: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7A681A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التطبيق في بنك الآفاق الرقمية</w:t>
            </w:r>
          </w:p>
          <w:p w14:paraId="38F8AB7A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4300B4" w14:paraId="419D9A02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2E331E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شديدة الندرة (</w:t>
            </w:r>
            <w:r>
              <w:rPr>
                <w:b/>
                <w:bCs/>
                <w:sz w:val="18"/>
                <w:szCs w:val="18"/>
              </w:rPr>
              <w:t>Remote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6C0DBF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581801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غير محتملة الحدوث تحت الظروف العادية؛ لا توجد حالات سابقة مسجلة بالقطاع.</w:t>
            </w:r>
          </w:p>
        </w:tc>
      </w:tr>
      <w:tr w:rsidR="004300B4" w14:paraId="38819372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A08AE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غير محتملة (</w:t>
            </w:r>
            <w:r>
              <w:rPr>
                <w:b/>
                <w:bCs/>
                <w:sz w:val="18"/>
                <w:szCs w:val="18"/>
              </w:rPr>
              <w:t>Unlikely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9BDFC4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E432E6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فرصة حدوث منخفضة؛ تحدث فقط في ظروف استثنائية جداً.</w:t>
            </w:r>
          </w:p>
        </w:tc>
      </w:tr>
      <w:tr w:rsidR="004300B4" w14:paraId="417DBC9A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0259D9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محتملة (</w:t>
            </w:r>
            <w:r>
              <w:rPr>
                <w:b/>
                <w:bCs/>
                <w:sz w:val="18"/>
                <w:szCs w:val="18"/>
              </w:rPr>
              <w:t>Possible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3DC714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0B1DAA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إمكانية متساوية للحدوث؛ واقعية وتتطلب انتباهاً مناسباً في البيئة المصرفية الحالية.</w:t>
            </w:r>
          </w:p>
        </w:tc>
      </w:tr>
      <w:tr w:rsidR="004300B4" w14:paraId="652FBC0B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B9427B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مرجحة (</w:t>
            </w:r>
            <w:r>
              <w:rPr>
                <w:b/>
                <w:bCs/>
                <w:sz w:val="18"/>
                <w:szCs w:val="18"/>
              </w:rPr>
              <w:t>Probable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3816B0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CB4C01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رجحان حدوثها أعلى من عدمه؛ وقعت حوادث مماثلة سابقة بالبنك أو البنوك المنافسة.</w:t>
            </w:r>
          </w:p>
        </w:tc>
      </w:tr>
      <w:tr w:rsidR="004300B4" w14:paraId="65970CB7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4DF199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مرجحة جداً (</w:t>
            </w:r>
            <w:r>
              <w:rPr>
                <w:b/>
                <w:bCs/>
                <w:sz w:val="18"/>
                <w:szCs w:val="18"/>
              </w:rPr>
              <w:t>Highly Probable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3A613D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B10EF1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شبه مؤكدة الحدوث؛ تكررت في </w:t>
            </w:r>
            <w:r>
              <w:rPr>
                <w:sz w:val="18"/>
                <w:szCs w:val="18"/>
                <w:rtl/>
              </w:rPr>
              <w:t>سجلات البنك سابقة وتتطلب معالجة فورية ومباشرة.</w:t>
            </w:r>
          </w:p>
        </w:tc>
      </w:tr>
    </w:tbl>
    <w:p w14:paraId="6ECFA829" w14:textId="77777777" w:rsidR="004300B4" w:rsidRDefault="00061012">
      <w:pPr>
        <w:pStyle w:val="3"/>
        <w:bidi/>
        <w:spacing w:before="300" w:after="225"/>
      </w:pPr>
      <w:r>
        <w:rPr>
          <w:rtl/>
        </w:rPr>
        <w:t>مقياس الأثر (</w:t>
      </w:r>
      <w:r>
        <w:t>Impact Scale - 1 to</w:t>
      </w:r>
      <w:r>
        <w:rPr>
          <w:rtl/>
        </w:rPr>
        <w:t xml:space="preserve"> 5):</w:t>
      </w:r>
    </w:p>
    <w:tbl>
      <w:tblPr>
        <w:tblStyle w:val="a7"/>
        <w:bidiVisual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300B4" w14:paraId="23B3955D" w14:textId="77777777">
        <w:trPr>
          <w:tblHeader/>
        </w:trPr>
        <w:tc>
          <w:tcPr>
            <w:tcW w:w="312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732B60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lastRenderedPageBreak/>
              <w:t>الوصف (</w:t>
            </w: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53CCBA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الدرجة (</w:t>
            </w: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E1E704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التطبيق في بنك الآفاق الرقمية</w:t>
            </w:r>
          </w:p>
          <w:p w14:paraId="4A687093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4300B4" w14:paraId="08AC199D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75E215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ضئيل (</w:t>
            </w:r>
            <w:r>
              <w:rPr>
                <w:b/>
                <w:bCs/>
                <w:sz w:val="18"/>
                <w:szCs w:val="18"/>
              </w:rPr>
              <w:t>Insignificant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6F1C8B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A6BCF7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أثر لا يذكر؛ لا يسبب أي توقف بالخدمات ولا يتطلب جهداً يذكر لمعالجته.</w:t>
            </w:r>
          </w:p>
        </w:tc>
      </w:tr>
      <w:tr w:rsidR="004300B4" w14:paraId="2108CB4D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5F5342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طفيف (</w:t>
            </w:r>
            <w:r>
              <w:rPr>
                <w:b/>
                <w:bCs/>
                <w:sz w:val="18"/>
                <w:szCs w:val="18"/>
              </w:rPr>
              <w:t>Minor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09DFCB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DB6043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إزعاج بسيط يتم إدارته بالإجراءات الروتينية؛ تكاليف مالية بسيطة دون تأثر العملاء.</w:t>
            </w:r>
          </w:p>
        </w:tc>
      </w:tr>
      <w:tr w:rsidR="004300B4" w14:paraId="01DAE663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6BFE18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متوسط (</w:t>
            </w:r>
            <w:r>
              <w:rPr>
                <w:b/>
                <w:bCs/>
                <w:sz w:val="18"/>
                <w:szCs w:val="18"/>
              </w:rPr>
              <w:t>Moderate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FFD69A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D8C3C2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تعطل ملموس في بعض الأنظمة الفرعية؛ يسبب ضغطاً على الموارد وتكاليف متوسطة.</w:t>
            </w:r>
          </w:p>
        </w:tc>
      </w:tr>
      <w:tr w:rsidR="004300B4" w14:paraId="749F8BD0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C50F93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كبير (</w:t>
            </w:r>
            <w:r>
              <w:rPr>
                <w:b/>
                <w:bCs/>
                <w:sz w:val="18"/>
                <w:szCs w:val="18"/>
              </w:rPr>
              <w:t>Major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F3494E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500A15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تعطل كبير في الخدمات المصرفية الرقمية (آفاق بلس/آفاق </w:t>
            </w:r>
            <w:r>
              <w:rPr>
                <w:sz w:val="18"/>
                <w:szCs w:val="18"/>
                <w:rtl/>
              </w:rPr>
              <w:t>نت)؛ خسائر مالية أو عقوبات رقابية من ساما/سدايا.</w:t>
            </w:r>
          </w:p>
        </w:tc>
      </w:tr>
      <w:tr w:rsidR="004300B4" w14:paraId="2E51B1EB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C38FA4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كارثي (</w:t>
            </w:r>
            <w:r>
              <w:rPr>
                <w:b/>
                <w:bCs/>
                <w:sz w:val="18"/>
                <w:szCs w:val="18"/>
              </w:rPr>
              <w:t>Catastrophic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6A61C5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357837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تهديد حاد لاستمرارية البنك؛ تسريب شامل لقواعد بيانات 500,000 عميل، خسائر مالية جسيمة، أو سحب الترخيص المصرفي.</w:t>
            </w:r>
          </w:p>
        </w:tc>
      </w:tr>
    </w:tbl>
    <w:p w14:paraId="0F235958" w14:textId="77777777" w:rsidR="004300B4" w:rsidRDefault="00061012">
      <w:pPr>
        <w:pStyle w:val="3"/>
        <w:bidi/>
        <w:spacing w:before="300"/>
      </w:pPr>
      <w:r>
        <w:rPr>
          <w:rtl/>
        </w:rPr>
        <w:t>مصفوفة تقييم وتصنيف المخاطر (</w:t>
      </w:r>
      <w:r>
        <w:t>Risk Prioritisation Matrix</w:t>
      </w:r>
      <w:r>
        <w:rPr>
          <w:rtl/>
        </w:rPr>
        <w:t>):</w:t>
      </w:r>
    </w:p>
    <w:p w14:paraId="5A2737B2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  <w:spacing w:after="225"/>
      </w:pPr>
      <w:r>
        <w:rPr>
          <w:rtl/>
        </w:rPr>
        <w:t xml:space="preserve">يتم تحديد </w:t>
      </w:r>
      <w:r>
        <w:rPr>
          <w:rtl/>
        </w:rPr>
        <w:t>التقييم الإجمالي للمخاطر وفق جدول حاصل الضرب التالي [</w:t>
      </w:r>
      <w:r>
        <w:t>cite</w:t>
      </w:r>
      <w:r>
        <w:rPr>
          <w:rtl/>
        </w:rPr>
        <w:t>: 8]:</w:t>
      </w:r>
    </w:p>
    <w:tbl>
      <w:tblPr>
        <w:tblStyle w:val="a8"/>
        <w:bidiVisual/>
        <w:tblW w:w="9360" w:type="dxa"/>
        <w:tblInd w:w="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4300B4" w14:paraId="543CA56B" w14:textId="77777777">
        <w:trPr>
          <w:tblHeader/>
        </w:trPr>
        <w:tc>
          <w:tcPr>
            <w:tcW w:w="2674" w:type="dxa"/>
            <w:gridSpan w:val="2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908061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الاحتمالية (</w:t>
            </w:r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  <w:rtl/>
              </w:rPr>
              <w:t xml:space="preserve">) ↓ |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الأثر (</w:t>
            </w: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  <w:rtl/>
              </w:rPr>
              <w:t>) →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99E57A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ضئيل (1)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0543CC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طفيف (2)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06D814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متوسط (3)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9C518F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كبير (4)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F189B5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كارثي (5)</w:t>
            </w:r>
          </w:p>
        </w:tc>
      </w:tr>
      <w:tr w:rsidR="004300B4" w14:paraId="2129D8B8" w14:textId="77777777">
        <w:trPr>
          <w:tblHeader/>
        </w:trPr>
        <w:tc>
          <w:tcPr>
            <w:tcW w:w="2674" w:type="dxa"/>
            <w:gridSpan w:val="2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A2CA58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الاحتمالية (</w:t>
            </w:r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  <w:rtl/>
              </w:rPr>
              <w:t xml:space="preserve">) ↓ |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الأثر (</w:t>
            </w: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  <w:rtl/>
              </w:rPr>
              <w:t>) →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396EF4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Insignificant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627070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Minor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8064D0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Moderate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A8372A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Major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58F131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Catastrophic</w:t>
            </w:r>
          </w:p>
        </w:tc>
      </w:tr>
      <w:tr w:rsidR="004300B4" w14:paraId="43726B36" w14:textId="77777777"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6BBE3E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مرجحة جداً (5)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6E4198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Highly Probable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EA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D71B5D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AA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41B301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AA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7CD646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15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4D4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351C03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20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4D4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807E1A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25</w:t>
            </w:r>
          </w:p>
        </w:tc>
      </w:tr>
      <w:tr w:rsidR="004300B4" w14:paraId="0BEB1DE5" w14:textId="77777777"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87C033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مرجحة (4)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E5263D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Probable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CD65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F8D776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EA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6EB9E2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AA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DE0239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12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AA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08067E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16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4D4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EDFC0B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20</w:t>
            </w:r>
          </w:p>
        </w:tc>
      </w:tr>
      <w:tr w:rsidR="004300B4" w14:paraId="35B41B4A" w14:textId="77777777"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E6A33F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lastRenderedPageBreak/>
              <w:t>محتملة (3)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11858D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Possible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CD65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3D27A6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EA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26D257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AA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600E94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AA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1BF55E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12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AA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A0FA6E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15</w:t>
            </w:r>
          </w:p>
        </w:tc>
      </w:tr>
      <w:tr w:rsidR="004300B4" w14:paraId="7A97DC1C" w14:textId="77777777"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87AABE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غير محتملة (2)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AE1217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Unlikely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CD65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F8D8BD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CD65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9FC971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EA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FFB46A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EA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B92179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AA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45E611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10</w:t>
            </w:r>
          </w:p>
        </w:tc>
      </w:tr>
      <w:tr w:rsidR="004300B4" w14:paraId="3B76B053" w14:textId="77777777"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E41862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شديدة الندرة (1)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8824F7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Remote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CD65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FF0EDE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CD65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EA2D4B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CD65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D87D80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CD65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535685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EA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2AD694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</w:tbl>
    <w:p w14:paraId="535741B5" w14:textId="77777777" w:rsidR="004300B4" w:rsidRDefault="004300B4">
      <w:pPr>
        <w:pBdr>
          <w:top w:val="nil"/>
          <w:left w:val="nil"/>
          <w:bottom w:val="nil"/>
          <w:right w:val="nil"/>
          <w:between w:val="nil"/>
        </w:pBdr>
        <w:bidi/>
        <w:spacing w:before="480" w:after="555"/>
        <w:ind w:left="825" w:right="225"/>
        <w:rPr>
          <w:b/>
          <w:bCs/>
          <w:sz w:val="18"/>
          <w:szCs w:val="18"/>
        </w:rPr>
      </w:pPr>
    </w:p>
    <w:p w14:paraId="5580A9A0" w14:textId="77777777" w:rsidR="004300B4" w:rsidRDefault="000610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ind w:right="225"/>
      </w:pPr>
      <w:r>
        <w:rPr>
          <w:b/>
          <w:bCs/>
          <w:color w:val="D9534F"/>
          <w:shd w:val="clear" w:color="auto" w:fill="E0F2F1"/>
          <w:rtl/>
        </w:rPr>
        <w:t>أحمر - مخاطر حرجة جداً (</w:t>
      </w:r>
      <w:r>
        <w:rPr>
          <w:b/>
          <w:bCs/>
          <w:color w:val="D9534F"/>
          <w:shd w:val="clear" w:color="auto" w:fill="E0F2F1"/>
        </w:rPr>
        <w:t>Score 16 - 25):</w:t>
      </w:r>
      <w:r>
        <w:rPr>
          <w:shd w:val="clear" w:color="auto" w:fill="E0F2F1"/>
          <w:rtl/>
        </w:rPr>
        <w:t xml:space="preserve"> غير مقبولة </w:t>
      </w:r>
      <w:r>
        <w:rPr>
          <w:shd w:val="clear" w:color="auto" w:fill="E0F2F1"/>
          <w:rtl/>
        </w:rPr>
        <w:t>مطلقاً؛ تتطلب تدخلاً فورياً ومعالجة حاسمة.</w:t>
      </w:r>
    </w:p>
    <w:p w14:paraId="43F8360B" w14:textId="77777777" w:rsidR="004300B4" w:rsidRDefault="000610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ind w:right="225"/>
      </w:pPr>
      <w:r>
        <w:rPr>
          <w:b/>
          <w:bCs/>
          <w:color w:val="F0AD4E"/>
          <w:shd w:val="clear" w:color="auto" w:fill="E0F2F1"/>
          <w:rtl/>
        </w:rPr>
        <w:t>برتقالي - مخاطر عالية (</w:t>
      </w:r>
      <w:r>
        <w:rPr>
          <w:b/>
          <w:bCs/>
          <w:color w:val="F0AD4E"/>
          <w:shd w:val="clear" w:color="auto" w:fill="E0F2F1"/>
        </w:rPr>
        <w:t>Score 10 - 15):</w:t>
      </w:r>
      <w:r>
        <w:rPr>
          <w:shd w:val="clear" w:color="auto" w:fill="E0F2F1"/>
          <w:rtl/>
        </w:rPr>
        <w:t xml:space="preserve"> تتطلب خطة معالجة شاملة وتقليل مستواها لمستويات مقبولة.</w:t>
      </w:r>
    </w:p>
    <w:p w14:paraId="243E1273" w14:textId="77777777" w:rsidR="004300B4" w:rsidRDefault="000610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ind w:right="225"/>
      </w:pPr>
      <w:r>
        <w:rPr>
          <w:b/>
          <w:bCs/>
          <w:color w:val="B8860B"/>
          <w:shd w:val="clear" w:color="auto" w:fill="E0F2F1"/>
          <w:rtl/>
        </w:rPr>
        <w:t>أصفر - مخاطر متوسطة (</w:t>
      </w:r>
      <w:r>
        <w:rPr>
          <w:b/>
          <w:bCs/>
          <w:color w:val="B8860B"/>
          <w:shd w:val="clear" w:color="auto" w:fill="E0F2F1"/>
        </w:rPr>
        <w:t>Score 5 - 9):</w:t>
      </w:r>
      <w:r>
        <w:rPr>
          <w:shd w:val="clear" w:color="auto" w:fill="E0F2F1"/>
          <w:rtl/>
        </w:rPr>
        <w:t xml:space="preserve"> مخاطر تشغيلية يمكن معالجتها بالضوابط المعيارية في سجل المخاطر.</w:t>
      </w:r>
    </w:p>
    <w:p w14:paraId="7C568011" w14:textId="77777777" w:rsidR="004300B4" w:rsidRDefault="000610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ind w:right="225"/>
      </w:pPr>
      <w:r>
        <w:rPr>
          <w:b/>
          <w:bCs/>
          <w:color w:val="5CB85C"/>
          <w:shd w:val="clear" w:color="auto" w:fill="E0F2F1"/>
          <w:rtl/>
        </w:rPr>
        <w:t xml:space="preserve">أخضر - مخاطر </w:t>
      </w:r>
      <w:r>
        <w:rPr>
          <w:b/>
          <w:bCs/>
          <w:color w:val="5CB85C"/>
          <w:shd w:val="clear" w:color="auto" w:fill="E0F2F1"/>
          <w:rtl/>
        </w:rPr>
        <w:t>منخفضة (</w:t>
      </w:r>
      <w:r>
        <w:rPr>
          <w:b/>
          <w:bCs/>
          <w:color w:val="5CB85C"/>
          <w:shd w:val="clear" w:color="auto" w:fill="E0F2F1"/>
        </w:rPr>
        <w:t>Score 1 - 4):</w:t>
      </w:r>
      <w:r>
        <w:rPr>
          <w:shd w:val="clear" w:color="auto" w:fill="E0F2F1"/>
          <w:rtl/>
        </w:rPr>
        <w:t xml:space="preserve"> مخاطر مقبولة مع المراقبة الدورية.</w:t>
      </w:r>
    </w:p>
    <w:p w14:paraId="1D7C1885" w14:textId="77777777" w:rsidR="004300B4" w:rsidRDefault="00061012">
      <w:pPr>
        <w:pStyle w:val="1"/>
        <w:bidi/>
        <w:spacing w:before="0"/>
      </w:pPr>
      <w:r>
        <w:rPr>
          <w:rtl/>
        </w:rPr>
        <w:t>7. معالجة المخاطر وقبولها (</w:t>
      </w:r>
      <w:r>
        <w:t>Risk Mitigation &amp; Acceptance Criteria</w:t>
      </w:r>
      <w:r>
        <w:rPr>
          <w:rtl/>
        </w:rPr>
        <w:t>)</w:t>
      </w:r>
    </w:p>
    <w:p w14:paraId="3CC56209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</w:pPr>
      <w:r>
        <w:pict w14:anchorId="1B01EC80">
          <v:rect id="_x0000_i1032" style="width:0;height:1.5pt" o:hralign="center" o:hrstd="t" o:hr="t" fillcolor="#a0a0a0" stroked="f"/>
        </w:pict>
      </w:r>
      <w:r>
        <w:rPr>
          <w:rtl/>
        </w:rPr>
        <w:t>تخضع المخاطر لأحد خيارات المعالجة الأربعة [</w:t>
      </w:r>
      <w:r>
        <w:t>cite</w:t>
      </w:r>
      <w:r>
        <w:rPr>
          <w:rtl/>
        </w:rPr>
        <w:t>: 8]:</w:t>
      </w:r>
    </w:p>
    <w:p w14:paraId="7B4EC430" w14:textId="77777777" w:rsidR="004300B4" w:rsidRDefault="0006101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الحد / التخفيف (</w:t>
      </w:r>
      <w:r>
        <w:rPr>
          <w:b/>
          <w:bCs/>
        </w:rPr>
        <w:t>Mitigate):</w:t>
      </w:r>
      <w:r>
        <w:rPr>
          <w:rtl/>
        </w:rPr>
        <w:t xml:space="preserve"> تطبيق ضوابط أمنية (فنية، إدارية، مادية) من الملحق </w:t>
      </w:r>
      <w:r>
        <w:t>Ann</w:t>
      </w:r>
      <w:r>
        <w:t>ex A</w:t>
      </w:r>
      <w:r>
        <w:rPr>
          <w:rtl/>
        </w:rPr>
        <w:t xml:space="preserve"> لتقليل الاحتمالية أو الأثر [</w:t>
      </w:r>
      <w:r>
        <w:t>cite</w:t>
      </w:r>
      <w:r>
        <w:rPr>
          <w:rtl/>
        </w:rPr>
        <w:t>: 8].</w:t>
      </w:r>
    </w:p>
    <w:p w14:paraId="17C96C3C" w14:textId="77777777" w:rsidR="004300B4" w:rsidRDefault="0006101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التجنيب / الإلغاء (</w:t>
      </w:r>
      <w:r>
        <w:rPr>
          <w:b/>
          <w:bCs/>
        </w:rPr>
        <w:t>Avoid):</w:t>
      </w:r>
      <w:r>
        <w:rPr>
          <w:rtl/>
        </w:rPr>
        <w:t xml:space="preserve"> تغيير الخطط أو إيقاف الخدمة/العملية المؤدية للمخاطرة [</w:t>
      </w:r>
      <w:r>
        <w:t>cite</w:t>
      </w:r>
      <w:r>
        <w:rPr>
          <w:rtl/>
        </w:rPr>
        <w:t>: 8].</w:t>
      </w:r>
    </w:p>
    <w:p w14:paraId="254A0AF2" w14:textId="77777777" w:rsidR="004300B4" w:rsidRDefault="0006101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النقل / المشاركة (</w:t>
      </w:r>
      <w:r>
        <w:rPr>
          <w:b/>
          <w:bCs/>
        </w:rPr>
        <w:t>Transfer):</w:t>
      </w:r>
      <w:r>
        <w:rPr>
          <w:rtl/>
        </w:rPr>
        <w:t xml:space="preserve"> نقل جزء من المخاطرة لأطراف خارجية (مثل وثائق التأمين السيبراني أو اتفاقيات الشركاء) [</w:t>
      </w:r>
      <w:r>
        <w:t>cite</w:t>
      </w:r>
      <w:r>
        <w:rPr>
          <w:rtl/>
        </w:rPr>
        <w:t>: 8]</w:t>
      </w:r>
      <w:r>
        <w:rPr>
          <w:rtl/>
        </w:rPr>
        <w:t>.</w:t>
      </w:r>
    </w:p>
    <w:p w14:paraId="2492B4E4" w14:textId="77777777" w:rsidR="004300B4" w:rsidRDefault="0006101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القبول (</w:t>
      </w:r>
      <w:r>
        <w:rPr>
          <w:b/>
          <w:bCs/>
        </w:rPr>
        <w:t>Accept):</w:t>
      </w:r>
      <w:r>
        <w:rPr>
          <w:rtl/>
        </w:rPr>
        <w:t xml:space="preserve"> قبول المخاطرة المتبقية إذا كانت ضمن حدود الرغبة المعتمدة للبنك وموثقة رسمياً [</w:t>
      </w:r>
      <w:r>
        <w:t>cite</w:t>
      </w:r>
      <w:r>
        <w:rPr>
          <w:rtl/>
        </w:rPr>
        <w:t>: 8].</w:t>
      </w:r>
    </w:p>
    <w:p w14:paraId="2B32538A" w14:textId="77777777" w:rsidR="004300B4" w:rsidRDefault="00061012">
      <w:pPr>
        <w:pStyle w:val="3"/>
        <w:bidi/>
        <w:spacing w:after="225"/>
      </w:pPr>
      <w:r>
        <w:rPr>
          <w:rtl/>
        </w:rPr>
        <w:t>معايير قبول المخاطر المعتمدة في بنك الآفاق الرقمية (</w:t>
      </w:r>
      <w:r>
        <w:t>Risk Acceptance Criteria</w:t>
      </w:r>
      <w:r>
        <w:rPr>
          <w:rtl/>
        </w:rPr>
        <w:t>):</w:t>
      </w:r>
    </w:p>
    <w:tbl>
      <w:tblPr>
        <w:tblStyle w:val="a9"/>
        <w:bidiVisual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300B4" w14:paraId="2E7E7B71" w14:textId="77777777">
        <w:trPr>
          <w:tblHeader/>
        </w:trPr>
        <w:tc>
          <w:tcPr>
            <w:tcW w:w="312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BB9E43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lastRenderedPageBreak/>
              <w:t>مستوى المخاطرة</w:t>
            </w:r>
          </w:p>
        </w:tc>
        <w:tc>
          <w:tcPr>
            <w:tcW w:w="312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B354F7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النتيجة (</w:t>
            </w: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CF85C3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شرط وقواعد القبول (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Acceptance </w:t>
            </w: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)</w:t>
            </w:r>
          </w:p>
          <w:p w14:paraId="524B5165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4300B4" w14:paraId="57273FEC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52592B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مخاطر منخفضة (</w:t>
            </w:r>
            <w:r>
              <w:rPr>
                <w:b/>
                <w:bCs/>
                <w:sz w:val="18"/>
                <w:szCs w:val="18"/>
              </w:rPr>
              <w:t>Low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33AC87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1 - 4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6E6BB7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مقبولة تلقائياً بدون خطة عمل إضافية، مع المراقبة السنوية في سجل المخاطر [</w:t>
            </w:r>
            <w:r>
              <w:rPr>
                <w:sz w:val="18"/>
                <w:szCs w:val="18"/>
              </w:rPr>
              <w:t>cite</w:t>
            </w:r>
            <w:r>
              <w:rPr>
                <w:sz w:val="18"/>
                <w:szCs w:val="18"/>
                <w:rtl/>
              </w:rPr>
              <w:t>: 8].</w:t>
            </w:r>
          </w:p>
        </w:tc>
      </w:tr>
      <w:tr w:rsidR="004300B4" w14:paraId="3368EB17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CC15A2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مخاطر متوسطة (</w:t>
            </w:r>
            <w:r>
              <w:rPr>
                <w:b/>
                <w:bCs/>
                <w:sz w:val="18"/>
                <w:szCs w:val="18"/>
              </w:rPr>
              <w:t>Medium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66939D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5 - 9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39A481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يمكن قبولها إذا كانت تكلفة التخفيف تتجاوز الفائدة المرجوة، وبشرط موافقة </w:t>
            </w:r>
            <w:r>
              <w:rPr>
                <w:sz w:val="18"/>
                <w:szCs w:val="18"/>
              </w:rPr>
              <w:t>CISO</w:t>
            </w:r>
            <w:r>
              <w:rPr>
                <w:sz w:val="18"/>
                <w:szCs w:val="18"/>
                <w:rtl/>
              </w:rPr>
              <w:t xml:space="preserve"> ومالك الخطر [</w:t>
            </w:r>
            <w:r>
              <w:rPr>
                <w:sz w:val="18"/>
                <w:szCs w:val="18"/>
              </w:rPr>
              <w:t>cite</w:t>
            </w:r>
            <w:r>
              <w:rPr>
                <w:sz w:val="18"/>
                <w:szCs w:val="18"/>
                <w:rtl/>
              </w:rPr>
              <w:t>: 8].</w:t>
            </w:r>
          </w:p>
        </w:tc>
      </w:tr>
      <w:tr w:rsidR="004300B4" w14:paraId="4AEFC3F2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0F9F81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مخاطر عالية (</w:t>
            </w:r>
            <w:r>
              <w:rPr>
                <w:b/>
                <w:bCs/>
                <w:sz w:val="18"/>
                <w:szCs w:val="18"/>
              </w:rPr>
              <w:t>High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670304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10 - 15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EB5A30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تتطلب إجراءات تخفيف وتخفيض إلزامية؛ لا تقبل إلا بخطة معالجة مفصلة وموافقة </w:t>
            </w:r>
            <w:r>
              <w:rPr>
                <w:sz w:val="18"/>
                <w:szCs w:val="18"/>
              </w:rPr>
              <w:t>CISO</w:t>
            </w:r>
            <w:r>
              <w:rPr>
                <w:sz w:val="18"/>
                <w:szCs w:val="18"/>
                <w:rtl/>
              </w:rPr>
              <w:t xml:space="preserve"> والـ </w:t>
            </w:r>
            <w:r>
              <w:rPr>
                <w:sz w:val="18"/>
                <w:szCs w:val="18"/>
              </w:rPr>
              <w:t>CEO [cite</w:t>
            </w:r>
            <w:r>
              <w:rPr>
                <w:sz w:val="18"/>
                <w:szCs w:val="18"/>
                <w:rtl/>
              </w:rPr>
              <w:t>: 8].</w:t>
            </w:r>
          </w:p>
        </w:tc>
      </w:tr>
      <w:tr w:rsidR="004300B4" w14:paraId="7E1F1565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3CFE6B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مخاطر حرجة (</w:t>
            </w:r>
            <w:r>
              <w:rPr>
                <w:b/>
                <w:bCs/>
                <w:sz w:val="18"/>
                <w:szCs w:val="18"/>
              </w:rPr>
              <w:t>Critical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F9311B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16 - 25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DD9160" w14:textId="77777777" w:rsidR="004300B4" w:rsidRDefault="00061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غير مقبولة مطلقاً</w:t>
            </w:r>
            <w:r>
              <w:rPr>
                <w:sz w:val="18"/>
                <w:szCs w:val="18"/>
                <w:rtl/>
              </w:rPr>
              <w:t>؛ تتطلب تدخلاً فورياً وإلزامياً ونقلها فوراً لسجل مخاطر البنك المؤسسي [</w:t>
            </w:r>
            <w:r>
              <w:rPr>
                <w:sz w:val="18"/>
                <w:szCs w:val="18"/>
              </w:rPr>
              <w:t>cite</w:t>
            </w:r>
            <w:r>
              <w:rPr>
                <w:sz w:val="18"/>
                <w:szCs w:val="18"/>
                <w:rtl/>
              </w:rPr>
              <w:t>: 8].</w:t>
            </w:r>
          </w:p>
        </w:tc>
      </w:tr>
    </w:tbl>
    <w:p w14:paraId="0984B7E9" w14:textId="77777777" w:rsidR="004300B4" w:rsidRDefault="00061012">
      <w:pPr>
        <w:pStyle w:val="1"/>
        <w:bidi/>
      </w:pPr>
      <w:r>
        <w:rPr>
          <w:rtl/>
        </w:rPr>
        <w:t>8. خطط المعالجة (</w:t>
      </w:r>
      <w:r>
        <w:t>Treatment Plans</w:t>
      </w:r>
      <w:r>
        <w:rPr>
          <w:rtl/>
        </w:rPr>
        <w:t>)</w:t>
      </w:r>
    </w:p>
    <w:p w14:paraId="43900EA1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</w:pPr>
      <w:r>
        <w:pict w14:anchorId="33DAA71E">
          <v:rect id="_x0000_i1033" style="width:0;height:1.5pt" o:hralign="center" o:hrstd="t" o:hr="t" fillcolor="#a0a0a0" stroked="f"/>
        </w:pict>
      </w:r>
      <w:r>
        <w:rPr>
          <w:rtl/>
        </w:rPr>
        <w:t>وفقاً لمعايير المنهجية المعتمدة لبنك الآفاق الرقمية [</w:t>
      </w:r>
      <w:r>
        <w:t>cite</w:t>
      </w:r>
      <w:r>
        <w:rPr>
          <w:rtl/>
        </w:rPr>
        <w:t>: 8]:</w:t>
      </w:r>
    </w:p>
    <w:p w14:paraId="088E1E0B" w14:textId="77777777" w:rsidR="004300B4" w:rsidRDefault="0006101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أي خطر يحصل على **تقييم إجمالي أعلى من 9 (10 فما فوق)** يُلزم مالك الخطر وإدارة أمن المعلومات بإعداد </w:t>
      </w:r>
      <w:r>
        <w:rPr>
          <w:b/>
          <w:bCs/>
          <w:rtl/>
        </w:rPr>
        <w:t>خطة معالجة مخاطر مفصلة ومستقلة (</w:t>
      </w:r>
      <w:r>
        <w:rPr>
          <w:b/>
          <w:bCs/>
        </w:rPr>
        <w:t xml:space="preserve">Risk </w:t>
      </w:r>
      <w:r>
        <w:rPr>
          <w:b/>
          <w:bCs/>
        </w:rPr>
        <w:t>Treatment Plan - RTP)</w:t>
      </w:r>
      <w:r>
        <w:rPr>
          <w:rtl/>
        </w:rPr>
        <w:t xml:space="preserve"> تحدد الإجراءات الفنية، الجداول الزمنية، والميزانية المخصصة [</w:t>
      </w:r>
      <w:r>
        <w:t>cite</w:t>
      </w:r>
      <w:r>
        <w:rPr>
          <w:rtl/>
        </w:rPr>
        <w:t>: 8].</w:t>
      </w:r>
    </w:p>
    <w:p w14:paraId="4F234085" w14:textId="77777777" w:rsidR="004300B4" w:rsidRDefault="0006101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المخاطر التي تحصل على **تقييم 9 أو أقل** يتم توثيق خطة وإجراءات معالجتها والضوابط المرتبطة بها مباشرة داخل سجل المخاطر المركزي (</w:t>
      </w:r>
      <w:r>
        <w:t>Risk Log</w:t>
      </w:r>
      <w:r>
        <w:rPr>
          <w:rtl/>
        </w:rPr>
        <w:t>) لضمان المرونة والتركيز [</w:t>
      </w:r>
      <w:r>
        <w:t>ci</w:t>
      </w:r>
      <w:r>
        <w:t>te</w:t>
      </w:r>
      <w:r>
        <w:rPr>
          <w:rtl/>
        </w:rPr>
        <w:t>: 8].</w:t>
      </w:r>
    </w:p>
    <w:p w14:paraId="166F14D2" w14:textId="77777777" w:rsidR="004300B4" w:rsidRDefault="00061012">
      <w:pPr>
        <w:pStyle w:val="1"/>
        <w:bidi/>
      </w:pPr>
      <w:r>
        <w:rPr>
          <w:rtl/>
        </w:rPr>
        <w:t>9. التصعيد (</w:t>
      </w:r>
      <w:r>
        <w:t>Escalation</w:t>
      </w:r>
      <w:r>
        <w:rPr>
          <w:rtl/>
        </w:rPr>
        <w:t>)</w:t>
      </w:r>
    </w:p>
    <w:p w14:paraId="3E7E8259" w14:textId="77777777" w:rsidR="004300B4" w:rsidRDefault="00061012">
      <w:pPr>
        <w:pBdr>
          <w:top w:val="nil"/>
          <w:left w:val="nil"/>
          <w:bottom w:val="nil"/>
          <w:right w:val="nil"/>
          <w:between w:val="nil"/>
        </w:pBdr>
        <w:bidi/>
      </w:pPr>
      <w:r>
        <w:pict w14:anchorId="664A01B6">
          <v:rect id="_x0000_i1034" style="width:0;height:1.5pt" o:hralign="center" o:hrstd="t" o:hr="t" fillcolor="#a0a0a0" stroked="f"/>
        </w:pict>
      </w:r>
      <w:r>
        <w:rPr>
          <w:rtl/>
        </w:rPr>
        <w:t>أي خطر يتم تصنيفه ضمن فئة **"كبير / حرج" (</w:t>
      </w:r>
      <w:r>
        <w:t>Major / Critical Score</w:t>
      </w:r>
      <w:r>
        <w:rPr>
          <w:rtl/>
        </w:rPr>
        <w:t xml:space="preserve"> 16-25)** يجب تصعيده فوراً عبر الهيكل الإداري ليتم إدراجه في </w:t>
      </w:r>
      <w:r>
        <w:rPr>
          <w:b/>
          <w:bCs/>
          <w:rtl/>
        </w:rPr>
        <w:t>سجل المخاطر المؤسسي للبنك (</w:t>
      </w:r>
      <w:r>
        <w:rPr>
          <w:b/>
          <w:bCs/>
        </w:rPr>
        <w:t>Corporate Risk Register)</w:t>
      </w:r>
      <w:r>
        <w:rPr>
          <w:rtl/>
        </w:rPr>
        <w:t>، ويتم إحاطة لجنة المخاطر بمجلس الإدارة والرئيس</w:t>
      </w:r>
      <w:r>
        <w:rPr>
          <w:rtl/>
        </w:rPr>
        <w:t xml:space="preserve"> التنفيذي لاتخاذ القرارات الاستراتيجية اللازمة [</w:t>
      </w:r>
      <w:r>
        <w:t>cite</w:t>
      </w:r>
      <w:r>
        <w:rPr>
          <w:rtl/>
        </w:rPr>
        <w:t>: 2, 8].</w:t>
      </w:r>
    </w:p>
    <w:sectPr w:rsidR="004300B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531724E-619B-4E37-8C6A-8C4F969E20A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2" w:subsetted="1" w:fontKey="{5EE4E0AB-F794-4671-A303-4F53E706B6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71AD8E0-B4B9-4B89-8706-74AA16D76A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5739E9B-9641-44A3-B92E-316A46A983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537F"/>
    <w:multiLevelType w:val="multilevel"/>
    <w:tmpl w:val="D9309C5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E92BB8"/>
    <w:multiLevelType w:val="multilevel"/>
    <w:tmpl w:val="E5385A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D261E1F"/>
    <w:multiLevelType w:val="multilevel"/>
    <w:tmpl w:val="68A05BD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80D278B"/>
    <w:multiLevelType w:val="multilevel"/>
    <w:tmpl w:val="6F28AA5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0607E52"/>
    <w:multiLevelType w:val="multilevel"/>
    <w:tmpl w:val="B36E01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2954102"/>
    <w:multiLevelType w:val="multilevel"/>
    <w:tmpl w:val="63960A5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B5977E9"/>
    <w:multiLevelType w:val="multilevel"/>
    <w:tmpl w:val="D5D6081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E3C4A51"/>
    <w:multiLevelType w:val="multilevel"/>
    <w:tmpl w:val="74F44B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E550C3F"/>
    <w:multiLevelType w:val="multilevel"/>
    <w:tmpl w:val="F81E1C02"/>
    <w:lvl w:ilvl="0">
      <w:start w:val="1"/>
      <w:numFmt w:val="bullet"/>
      <w:lvlText w:val="●"/>
      <w:lvlJc w:val="left"/>
      <w:pPr>
        <w:ind w:left="82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7"/>
  </w:num>
  <w:num w:numId="5">
    <w:abstractNumId w:val="6"/>
  </w:num>
  <w:num w:numId="6">
    <w:abstractNumId w:val="5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0B4"/>
    <w:rsid w:val="00061012"/>
    <w:rsid w:val="004300B4"/>
    <w:rsid w:val="00BD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9DA39"/>
  <w15:docId w15:val="{0BD2D466-3B6F-4709-851B-6E0AE687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75" w:after="300"/>
      <w:outlineLvl w:val="0"/>
    </w:pPr>
    <w:rPr>
      <w:b/>
      <w:bCs/>
      <w:color w:val="0096A6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50"/>
      <w:outlineLvl w:val="1"/>
    </w:pPr>
    <w:rPr>
      <w:b/>
      <w:bCs/>
      <w:color w:val="0096A6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120"/>
      <w:outlineLvl w:val="2"/>
    </w:pPr>
    <w:rPr>
      <w:b/>
      <w:bCs/>
      <w:color w:val="0096A6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1388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wesammohammed897@hotmail.com</cp:lastModifiedBy>
  <cp:revision>3</cp:revision>
  <dcterms:created xsi:type="dcterms:W3CDTF">2026-09-12T16:28:00Z</dcterms:created>
  <dcterms:modified xsi:type="dcterms:W3CDTF">2026-09-12T16:29:00Z</dcterms:modified>
</cp:coreProperties>
</file>