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CD63B" w14:textId="2D57013C" w:rsidR="00A67C72" w:rsidRDefault="005667C8">
      <w:pPr>
        <w:pBdr>
          <w:top w:val="nil"/>
          <w:left w:val="nil"/>
          <w:bottom w:val="nil"/>
          <w:right w:val="nil"/>
          <w:between w:val="nil"/>
        </w:pBdr>
        <w:bidi/>
        <w:spacing w:before="525" w:after="750"/>
        <w:ind w:left="450" w:right="450"/>
        <w:jc w:val="center"/>
        <w:rPr>
          <w:rFonts w:hint="cs"/>
          <w:color w:val="000000"/>
        </w:rPr>
      </w:pPr>
      <w:r>
        <w:rPr>
          <w:noProof/>
          <w:color w:val="000000"/>
        </w:rPr>
        <w:drawing>
          <wp:anchor distT="0" distB="0" distL="114300" distR="114300" simplePos="0" relativeHeight="251658240" behindDoc="0" locked="0" layoutInCell="1" allowOverlap="1" wp14:anchorId="21550F6B" wp14:editId="05B23D40">
            <wp:simplePos x="0" y="0"/>
            <wp:positionH relativeFrom="margin">
              <wp:posOffset>-590550</wp:posOffset>
            </wp:positionH>
            <wp:positionV relativeFrom="margin">
              <wp:posOffset>-558800</wp:posOffset>
            </wp:positionV>
            <wp:extent cx="1798320" cy="981710"/>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8320" cy="981710"/>
                    </a:xfrm>
                    <a:prstGeom prst="rect">
                      <a:avLst/>
                    </a:prstGeom>
                    <a:noFill/>
                  </pic:spPr>
                </pic:pic>
              </a:graphicData>
            </a:graphic>
          </wp:anchor>
        </w:drawing>
      </w:r>
    </w:p>
    <w:p w14:paraId="54E374E4" w14:textId="77777777" w:rsidR="00A67C72" w:rsidRDefault="005667C8">
      <w:pPr>
        <w:pBdr>
          <w:top w:val="nil"/>
          <w:left w:val="nil"/>
          <w:bottom w:val="nil"/>
          <w:right w:val="nil"/>
          <w:between w:val="nil"/>
        </w:pBdr>
        <w:bidi/>
        <w:spacing w:before="150" w:after="375"/>
        <w:ind w:left="450" w:right="450"/>
        <w:jc w:val="center"/>
        <w:rPr>
          <w:b/>
          <w:bCs/>
          <w:color w:val="0096A6"/>
          <w:sz w:val="36"/>
          <w:szCs w:val="36"/>
          <w:highlight w:val="white"/>
        </w:rPr>
      </w:pPr>
      <w:r>
        <w:rPr>
          <w:b/>
          <w:bCs/>
          <w:color w:val="0096A6"/>
          <w:sz w:val="36"/>
          <w:szCs w:val="36"/>
          <w:highlight w:val="white"/>
          <w:rtl/>
        </w:rPr>
        <w:t xml:space="preserve">بنك الآفاق الرقمية | </w:t>
      </w:r>
      <w:r>
        <w:rPr>
          <w:b/>
          <w:bCs/>
          <w:color w:val="0096A6"/>
          <w:sz w:val="36"/>
          <w:szCs w:val="36"/>
          <w:highlight w:val="white"/>
        </w:rPr>
        <w:t>DIGITAL HORIZONS BANK</w:t>
      </w:r>
    </w:p>
    <w:p w14:paraId="3508388E" w14:textId="77777777" w:rsidR="00A67C72" w:rsidRDefault="005667C8">
      <w:pPr>
        <w:pStyle w:val="1"/>
        <w:bidi/>
        <w:spacing w:before="0" w:after="225"/>
        <w:ind w:left="300" w:right="300"/>
        <w:jc w:val="center"/>
        <w:rPr>
          <w:color w:val="FFFFFF"/>
          <w:sz w:val="44"/>
          <w:szCs w:val="44"/>
          <w:shd w:val="clear" w:color="auto" w:fill="0096A6"/>
        </w:rPr>
      </w:pPr>
      <w:r>
        <w:rPr>
          <w:color w:val="FFFFFF"/>
          <w:sz w:val="44"/>
          <w:szCs w:val="44"/>
          <w:shd w:val="clear" w:color="auto" w:fill="0096A6"/>
          <w:rtl/>
        </w:rPr>
        <w:t>بيان مستوى الرغبة في تقبل مخاطر أمن المعلومات</w:t>
      </w:r>
    </w:p>
    <w:p w14:paraId="176E5E61" w14:textId="77777777" w:rsidR="00A67C72" w:rsidRDefault="005667C8">
      <w:pPr>
        <w:pBdr>
          <w:top w:val="nil"/>
          <w:left w:val="nil"/>
          <w:bottom w:val="nil"/>
          <w:right w:val="nil"/>
          <w:between w:val="nil"/>
        </w:pBdr>
        <w:bidi/>
        <w:ind w:left="300" w:right="300"/>
        <w:jc w:val="center"/>
        <w:rPr>
          <w:color w:val="FFFFFF"/>
          <w:sz w:val="24"/>
          <w:szCs w:val="24"/>
          <w:shd w:val="clear" w:color="auto" w:fill="0096A6"/>
        </w:rPr>
      </w:pPr>
      <w:r>
        <w:pict w14:anchorId="6CD0AB16">
          <v:rect id="_x0000_i1025" style="width:0;height:1.5pt" o:hralign="center" o:hrstd="t" o:hr="t" fillcolor="#a0a0a0" stroked="f"/>
        </w:pict>
      </w:r>
      <w:r>
        <w:rPr>
          <w:color w:val="FFFFFF"/>
          <w:sz w:val="24"/>
          <w:szCs w:val="24"/>
          <w:shd w:val="clear" w:color="auto" w:fill="0096A6"/>
        </w:rPr>
        <w:t>Information Security Risk Appetite Statement</w:t>
      </w:r>
    </w:p>
    <w:p w14:paraId="00276AF6" w14:textId="77777777" w:rsidR="00A67C72" w:rsidRDefault="005667C8">
      <w:pPr>
        <w:pBdr>
          <w:top w:val="nil"/>
          <w:left w:val="nil"/>
          <w:bottom w:val="nil"/>
          <w:right w:val="nil"/>
          <w:between w:val="nil"/>
        </w:pBdr>
        <w:bidi/>
        <w:ind w:left="300" w:right="300"/>
        <w:jc w:val="center"/>
        <w:rPr>
          <w:color w:val="FFFFFF"/>
          <w:sz w:val="20"/>
          <w:szCs w:val="20"/>
          <w:shd w:val="clear" w:color="auto" w:fill="0096A6"/>
        </w:rPr>
      </w:pPr>
      <w:r>
        <w:rPr>
          <w:color w:val="FFFFFF"/>
          <w:sz w:val="20"/>
          <w:szCs w:val="20"/>
          <w:shd w:val="clear" w:color="auto" w:fill="0096A6"/>
        </w:rPr>
        <w:t>ISO/IEC 27001:2022 ISMS Documentation — Clauses 5.2, 6.1.2 &amp; RT4 Framework</w:t>
      </w:r>
    </w:p>
    <w:p w14:paraId="246CA989" w14:textId="6572E29A" w:rsidR="00A67C72" w:rsidRDefault="00A67C72">
      <w:pPr>
        <w:pBdr>
          <w:top w:val="nil"/>
          <w:left w:val="nil"/>
          <w:bottom w:val="nil"/>
          <w:right w:val="nil"/>
          <w:between w:val="nil"/>
        </w:pBdr>
        <w:bidi/>
        <w:spacing w:before="180" w:after="405"/>
        <w:ind w:left="225" w:right="225"/>
        <w:rPr>
          <w:shd w:val="clear" w:color="auto" w:fill="E0F2F1"/>
        </w:rPr>
      </w:pPr>
    </w:p>
    <w:tbl>
      <w:tblPr>
        <w:tblStyle w:val="a5"/>
        <w:bidiVisual/>
        <w:tblW w:w="9360" w:type="dxa"/>
        <w:tblInd w:w="0" w:type="dxa"/>
        <w:tblBorders>
          <w:top w:val="single" w:sz="6" w:space="0" w:color="0096A6"/>
          <w:left w:val="single" w:sz="6" w:space="0" w:color="0096A6"/>
          <w:bottom w:val="single" w:sz="6" w:space="0" w:color="0096A6"/>
          <w:right w:val="single" w:sz="6" w:space="0" w:color="0096A6"/>
          <w:insideH w:val="single" w:sz="6" w:space="0" w:color="0096A6"/>
          <w:insideV w:val="single" w:sz="6" w:space="0" w:color="0096A6"/>
        </w:tblBorders>
        <w:tblLayout w:type="fixed"/>
        <w:tblLook w:val="0600" w:firstRow="0" w:lastRow="0" w:firstColumn="0" w:lastColumn="0" w:noHBand="1" w:noVBand="1"/>
      </w:tblPr>
      <w:tblGrid>
        <w:gridCol w:w="2808"/>
        <w:gridCol w:w="6552"/>
      </w:tblGrid>
      <w:tr w:rsidR="00A67C72" w14:paraId="3D37FDB4"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77B0A5DA"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تصنيف الوثيقة (</w:t>
            </w:r>
            <w:r>
              <w:rPr>
                <w:b/>
                <w:bCs/>
                <w:color w:val="FFFFFF"/>
                <w:sz w:val="18"/>
                <w:szCs w:val="18"/>
              </w:rPr>
              <w:t>Classification</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4ED785E2" w14:textId="77777777" w:rsidR="00A67C72" w:rsidRDefault="005667C8">
            <w:pPr>
              <w:pBdr>
                <w:top w:val="nil"/>
                <w:left w:val="nil"/>
                <w:bottom w:val="nil"/>
                <w:right w:val="nil"/>
                <w:between w:val="nil"/>
              </w:pBdr>
              <w:bidi/>
              <w:spacing w:before="120" w:after="120"/>
              <w:rPr>
                <w:sz w:val="18"/>
                <w:szCs w:val="18"/>
              </w:rPr>
            </w:pPr>
            <w:r>
              <w:rPr>
                <w:sz w:val="18"/>
                <w:szCs w:val="18"/>
                <w:rtl/>
              </w:rPr>
              <w:t>داخلي (</w:t>
            </w:r>
            <w:r>
              <w:rPr>
                <w:sz w:val="18"/>
                <w:szCs w:val="18"/>
              </w:rPr>
              <w:t>Internal</w:t>
            </w:r>
            <w:r>
              <w:rPr>
                <w:sz w:val="18"/>
                <w:szCs w:val="18"/>
                <w:rtl/>
              </w:rPr>
              <w:t>) — لا تُشارك خارج البنك بدون موافقة مسبقة من مالك الوثيقة</w:t>
            </w:r>
          </w:p>
        </w:tc>
      </w:tr>
      <w:tr w:rsidR="00A67C72" w14:paraId="0B2DB1E5"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280CAAA0"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رمز الوثيقة (</w:t>
            </w:r>
            <w:r>
              <w:rPr>
                <w:b/>
                <w:bCs/>
                <w:color w:val="FFFFFF"/>
                <w:sz w:val="18"/>
                <w:szCs w:val="18"/>
              </w:rPr>
              <w:t>Document Ref</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08FA7380" w14:textId="77777777" w:rsidR="00A67C72" w:rsidRDefault="005667C8">
            <w:pPr>
              <w:pBdr>
                <w:top w:val="nil"/>
                <w:left w:val="nil"/>
                <w:bottom w:val="nil"/>
                <w:right w:val="nil"/>
                <w:between w:val="nil"/>
              </w:pBdr>
              <w:bidi/>
              <w:spacing w:before="120" w:after="120"/>
              <w:rPr>
                <w:sz w:val="18"/>
                <w:szCs w:val="18"/>
              </w:rPr>
            </w:pPr>
            <w:r>
              <w:rPr>
                <w:sz w:val="18"/>
                <w:szCs w:val="18"/>
              </w:rPr>
              <w:t>ISMS-RT-04</w:t>
            </w:r>
          </w:p>
        </w:tc>
      </w:tr>
      <w:tr w:rsidR="00A67C72" w14:paraId="409C209D"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730E6119"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الإصدار (</w:t>
            </w:r>
            <w:r>
              <w:rPr>
                <w:b/>
                <w:bCs/>
                <w:color w:val="FFFFFF"/>
                <w:sz w:val="18"/>
                <w:szCs w:val="18"/>
              </w:rPr>
              <w:t>Version</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09B00428" w14:textId="77777777" w:rsidR="00A67C72" w:rsidRDefault="005667C8">
            <w:pPr>
              <w:pBdr>
                <w:top w:val="nil"/>
                <w:left w:val="nil"/>
                <w:bottom w:val="nil"/>
                <w:right w:val="nil"/>
                <w:between w:val="nil"/>
              </w:pBdr>
              <w:bidi/>
              <w:spacing w:before="120" w:after="120"/>
              <w:rPr>
                <w:sz w:val="18"/>
                <w:szCs w:val="18"/>
              </w:rPr>
            </w:pPr>
            <w:r>
              <w:rPr>
                <w:sz w:val="18"/>
                <w:szCs w:val="18"/>
              </w:rPr>
              <w:t>1.0</w:t>
            </w:r>
          </w:p>
        </w:tc>
      </w:tr>
      <w:tr w:rsidR="00A67C72" w14:paraId="151AFB0B"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409BF5B6"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 xml:space="preserve">تاريخ آخر </w:t>
            </w:r>
            <w:r>
              <w:rPr>
                <w:b/>
                <w:bCs/>
                <w:color w:val="FFFFFF"/>
                <w:sz w:val="18"/>
                <w:szCs w:val="18"/>
                <w:rtl/>
              </w:rPr>
              <w:t>تحديث (</w:t>
            </w:r>
            <w:r>
              <w:rPr>
                <w:b/>
                <w:bCs/>
                <w:color w:val="FFFFFF"/>
                <w:sz w:val="18"/>
                <w:szCs w:val="18"/>
              </w:rPr>
              <w:t>Date Last Updated</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3A2E1651" w14:textId="77777777" w:rsidR="00A67C72" w:rsidRDefault="005667C8">
            <w:pPr>
              <w:pBdr>
                <w:top w:val="nil"/>
                <w:left w:val="nil"/>
                <w:bottom w:val="nil"/>
                <w:right w:val="nil"/>
                <w:between w:val="nil"/>
              </w:pBdr>
              <w:bidi/>
              <w:spacing w:before="120" w:after="120"/>
              <w:rPr>
                <w:sz w:val="18"/>
                <w:szCs w:val="18"/>
              </w:rPr>
            </w:pPr>
            <w:r>
              <w:rPr>
                <w:sz w:val="18"/>
                <w:szCs w:val="18"/>
                <w:rtl/>
              </w:rPr>
              <w:t>12 سبتمبر 2026</w:t>
            </w:r>
          </w:p>
        </w:tc>
      </w:tr>
      <w:tr w:rsidR="00A67C72" w14:paraId="13285353"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471D91C3"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مالك الوثيقة (</w:t>
            </w:r>
            <w:r>
              <w:rPr>
                <w:b/>
                <w:bCs/>
                <w:color w:val="FFFFFF"/>
                <w:sz w:val="18"/>
                <w:szCs w:val="18"/>
              </w:rPr>
              <w:t>Owner</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546DCB97" w14:textId="77777777" w:rsidR="00A67C72" w:rsidRDefault="005667C8">
            <w:pPr>
              <w:pBdr>
                <w:top w:val="nil"/>
                <w:left w:val="nil"/>
                <w:bottom w:val="nil"/>
                <w:right w:val="nil"/>
                <w:between w:val="nil"/>
              </w:pBdr>
              <w:bidi/>
              <w:spacing w:before="120" w:after="120"/>
              <w:rPr>
                <w:sz w:val="18"/>
                <w:szCs w:val="18"/>
              </w:rPr>
            </w:pPr>
            <w:r>
              <w:rPr>
                <w:sz w:val="18"/>
                <w:szCs w:val="18"/>
                <w:rtl/>
              </w:rPr>
              <w:t>مدير أمن المعلومات (</w:t>
            </w:r>
            <w:r>
              <w:rPr>
                <w:sz w:val="18"/>
                <w:szCs w:val="18"/>
              </w:rPr>
              <w:t>CISO</w:t>
            </w:r>
            <w:r>
              <w:rPr>
                <w:sz w:val="18"/>
                <w:szCs w:val="18"/>
                <w:rtl/>
              </w:rPr>
              <w:t>) — الأستاذة سارة الحربي</w:t>
            </w:r>
          </w:p>
        </w:tc>
      </w:tr>
      <w:tr w:rsidR="00A67C72" w14:paraId="70B2916C"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0D11471C"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الجهة المعتمِدة (</w:t>
            </w:r>
            <w:r>
              <w:rPr>
                <w:b/>
                <w:bCs/>
                <w:color w:val="FFFFFF"/>
                <w:sz w:val="18"/>
                <w:szCs w:val="18"/>
              </w:rPr>
              <w:t>Approved By</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6AE1BA3C" w14:textId="77777777" w:rsidR="00A67C72" w:rsidRDefault="005667C8">
            <w:pPr>
              <w:pBdr>
                <w:top w:val="nil"/>
                <w:left w:val="nil"/>
                <w:bottom w:val="nil"/>
                <w:right w:val="nil"/>
                <w:between w:val="nil"/>
              </w:pBdr>
              <w:bidi/>
              <w:spacing w:before="120" w:after="120"/>
              <w:rPr>
                <w:sz w:val="18"/>
                <w:szCs w:val="18"/>
              </w:rPr>
            </w:pPr>
            <w:r>
              <w:rPr>
                <w:sz w:val="18"/>
                <w:szCs w:val="18"/>
                <w:rtl/>
              </w:rPr>
              <w:t>الرئيس التنفيذي (</w:t>
            </w:r>
            <w:r>
              <w:rPr>
                <w:sz w:val="18"/>
                <w:szCs w:val="18"/>
              </w:rPr>
              <w:t>CEO</w:t>
            </w:r>
            <w:r>
              <w:rPr>
                <w:sz w:val="18"/>
                <w:szCs w:val="18"/>
                <w:rtl/>
              </w:rPr>
              <w:t>) — الدكتورة نورة القحطاني ومجلس الإدارة</w:t>
            </w:r>
          </w:p>
        </w:tc>
      </w:tr>
      <w:tr w:rsidR="00A67C72" w14:paraId="5563B31B"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0D81BF5E"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تكرار المراجعة (</w:t>
            </w:r>
            <w:r>
              <w:rPr>
                <w:b/>
                <w:bCs/>
                <w:color w:val="FFFFFF"/>
                <w:sz w:val="18"/>
                <w:szCs w:val="18"/>
              </w:rPr>
              <w:t>Review Frequency</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4597389D" w14:textId="77777777" w:rsidR="00A67C72" w:rsidRDefault="005667C8">
            <w:pPr>
              <w:pBdr>
                <w:top w:val="nil"/>
                <w:left w:val="nil"/>
                <w:bottom w:val="nil"/>
                <w:right w:val="nil"/>
                <w:between w:val="nil"/>
              </w:pBdr>
              <w:bidi/>
              <w:spacing w:before="120" w:after="120"/>
              <w:rPr>
                <w:sz w:val="18"/>
                <w:szCs w:val="18"/>
              </w:rPr>
            </w:pPr>
            <w:r>
              <w:rPr>
                <w:sz w:val="18"/>
                <w:szCs w:val="18"/>
                <w:rtl/>
              </w:rPr>
              <w:t>سنوياً (</w:t>
            </w:r>
            <w:r>
              <w:rPr>
                <w:sz w:val="18"/>
                <w:szCs w:val="18"/>
              </w:rPr>
              <w:t>Annually</w:t>
            </w:r>
            <w:r>
              <w:rPr>
                <w:sz w:val="18"/>
                <w:szCs w:val="18"/>
                <w:rtl/>
              </w:rPr>
              <w:t>) أو عند التغييرات الجوهرية في بيئة الأعمال المصرفية</w:t>
            </w:r>
          </w:p>
        </w:tc>
      </w:tr>
      <w:tr w:rsidR="00A67C72" w14:paraId="4C3AB85D"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6CDAE501"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تاريخ المراجعة القادمة (</w:t>
            </w:r>
            <w:r>
              <w:rPr>
                <w:b/>
                <w:bCs/>
                <w:color w:val="FFFFFF"/>
                <w:sz w:val="18"/>
                <w:szCs w:val="18"/>
              </w:rPr>
              <w:t>Next Review</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24903B2B" w14:textId="77777777" w:rsidR="00A67C72" w:rsidRDefault="005667C8">
            <w:pPr>
              <w:pBdr>
                <w:top w:val="nil"/>
                <w:left w:val="nil"/>
                <w:bottom w:val="nil"/>
                <w:right w:val="nil"/>
                <w:between w:val="nil"/>
              </w:pBdr>
              <w:bidi/>
              <w:spacing w:before="120" w:after="120"/>
              <w:rPr>
                <w:sz w:val="18"/>
                <w:szCs w:val="18"/>
              </w:rPr>
            </w:pPr>
            <w:r>
              <w:rPr>
                <w:sz w:val="18"/>
                <w:szCs w:val="18"/>
                <w:rtl/>
              </w:rPr>
              <w:t>12 سبتمبر 2027</w:t>
            </w:r>
          </w:p>
        </w:tc>
      </w:tr>
      <w:tr w:rsidR="00A67C72" w14:paraId="0FE84A3B" w14:textId="77777777">
        <w:tc>
          <w:tcPr>
            <w:tcW w:w="2808" w:type="dxa"/>
            <w:tcBorders>
              <w:top w:val="single" w:sz="6" w:space="0" w:color="0096A6"/>
              <w:left w:val="single" w:sz="6" w:space="0" w:color="0096A6"/>
              <w:bottom w:val="single" w:sz="6" w:space="0" w:color="0096A6"/>
              <w:right w:val="single" w:sz="6" w:space="0" w:color="0096A6"/>
            </w:tcBorders>
            <w:shd w:val="clear" w:color="auto" w:fill="0096A6"/>
            <w:tcMar>
              <w:top w:w="120" w:type="dxa"/>
              <w:left w:w="180" w:type="dxa"/>
              <w:bottom w:w="120" w:type="dxa"/>
              <w:right w:w="180" w:type="dxa"/>
            </w:tcMar>
          </w:tcPr>
          <w:p w14:paraId="03BF962A" w14:textId="77777777" w:rsidR="00A67C72" w:rsidRDefault="005667C8">
            <w:pPr>
              <w:pBdr>
                <w:top w:val="nil"/>
                <w:left w:val="nil"/>
                <w:bottom w:val="nil"/>
                <w:right w:val="nil"/>
                <w:between w:val="nil"/>
              </w:pBdr>
              <w:bidi/>
              <w:spacing w:before="120" w:after="120"/>
              <w:rPr>
                <w:b/>
                <w:bCs/>
                <w:color w:val="FFFFFF"/>
                <w:sz w:val="18"/>
                <w:szCs w:val="18"/>
              </w:rPr>
            </w:pPr>
            <w:r>
              <w:rPr>
                <w:b/>
                <w:bCs/>
                <w:color w:val="FFFFFF"/>
                <w:sz w:val="18"/>
                <w:szCs w:val="18"/>
                <w:rtl/>
              </w:rPr>
              <w:t>ملاحظات (</w:t>
            </w:r>
            <w:r>
              <w:rPr>
                <w:b/>
                <w:bCs/>
                <w:color w:val="FFFFFF"/>
                <w:sz w:val="18"/>
                <w:szCs w:val="18"/>
              </w:rPr>
              <w:t>Comments</w:t>
            </w:r>
            <w:r>
              <w:rPr>
                <w:b/>
                <w:bCs/>
                <w:color w:val="FFFFFF"/>
                <w:sz w:val="18"/>
                <w:szCs w:val="18"/>
                <w:rtl/>
              </w:rPr>
              <w:t>)</w:t>
            </w:r>
          </w:p>
        </w:tc>
        <w:tc>
          <w:tcPr>
            <w:tcW w:w="6552" w:type="dxa"/>
            <w:tcBorders>
              <w:top w:val="single" w:sz="6" w:space="0" w:color="0096A6"/>
              <w:left w:val="single" w:sz="6" w:space="0" w:color="0096A6"/>
              <w:bottom w:val="single" w:sz="6" w:space="0" w:color="0096A6"/>
              <w:right w:val="single" w:sz="6" w:space="0" w:color="0096A6"/>
            </w:tcBorders>
            <w:shd w:val="clear" w:color="auto" w:fill="F2F9F9"/>
            <w:tcMar>
              <w:top w:w="120" w:type="dxa"/>
              <w:left w:w="180" w:type="dxa"/>
              <w:bottom w:w="120" w:type="dxa"/>
              <w:right w:w="180" w:type="dxa"/>
            </w:tcMar>
          </w:tcPr>
          <w:p w14:paraId="67F07C95" w14:textId="77777777" w:rsidR="00A67C72" w:rsidRDefault="005667C8">
            <w:pPr>
              <w:pBdr>
                <w:top w:val="nil"/>
                <w:left w:val="nil"/>
                <w:bottom w:val="nil"/>
                <w:right w:val="nil"/>
                <w:between w:val="nil"/>
              </w:pBdr>
              <w:bidi/>
              <w:spacing w:before="120" w:after="120"/>
              <w:rPr>
                <w:sz w:val="18"/>
                <w:szCs w:val="18"/>
              </w:rPr>
            </w:pPr>
            <w:r>
              <w:rPr>
                <w:sz w:val="18"/>
                <w:szCs w:val="18"/>
                <w:rtl/>
              </w:rPr>
              <w:t>مخصص لتحديد عتبات الرغبة في المخاطرة وضوابط معالجتها وقبولها لبنك الآفاق الرقمية.</w:t>
            </w:r>
          </w:p>
        </w:tc>
      </w:tr>
    </w:tbl>
    <w:p w14:paraId="5D7474B3" w14:textId="77777777" w:rsidR="00A67C72" w:rsidRDefault="005667C8">
      <w:pPr>
        <w:pStyle w:val="2"/>
        <w:bidi/>
      </w:pPr>
      <w:r>
        <w:rPr>
          <w:rtl/>
        </w:rPr>
        <w:lastRenderedPageBreak/>
        <w:t>جدول المحتويات (</w:t>
      </w:r>
      <w:r>
        <w:t>Contents</w:t>
      </w:r>
      <w:r>
        <w:rPr>
          <w:rtl/>
        </w:rPr>
        <w:t>)</w:t>
      </w:r>
    </w:p>
    <w:p w14:paraId="57ADEADE" w14:textId="77777777" w:rsidR="00A67C72" w:rsidRDefault="005667C8">
      <w:pPr>
        <w:numPr>
          <w:ilvl w:val="0"/>
          <w:numId w:val="1"/>
        </w:numPr>
        <w:pBdr>
          <w:top w:val="nil"/>
          <w:left w:val="nil"/>
          <w:bottom w:val="nil"/>
          <w:right w:val="nil"/>
          <w:between w:val="nil"/>
        </w:pBdr>
        <w:bidi/>
      </w:pPr>
      <w:r>
        <w:rPr>
          <w:rtl/>
        </w:rPr>
        <w:t>1. الغرض (</w:t>
      </w:r>
      <w:r>
        <w:t>Purpose</w:t>
      </w:r>
      <w:r>
        <w:rPr>
          <w:rtl/>
        </w:rPr>
        <w:t>)</w:t>
      </w:r>
    </w:p>
    <w:p w14:paraId="46181972" w14:textId="77777777" w:rsidR="00A67C72" w:rsidRDefault="005667C8">
      <w:pPr>
        <w:numPr>
          <w:ilvl w:val="0"/>
          <w:numId w:val="1"/>
        </w:numPr>
        <w:pBdr>
          <w:top w:val="nil"/>
          <w:left w:val="nil"/>
          <w:bottom w:val="nil"/>
          <w:right w:val="nil"/>
          <w:between w:val="nil"/>
        </w:pBdr>
        <w:bidi/>
      </w:pPr>
      <w:r>
        <w:rPr>
          <w:rtl/>
        </w:rPr>
        <w:t>2. عتبات الرغبة في قبول المخاطر (</w:t>
      </w:r>
      <w:r>
        <w:t>Risk Appetite Thresholds</w:t>
      </w:r>
      <w:r>
        <w:rPr>
          <w:rtl/>
        </w:rPr>
        <w:t>)</w:t>
      </w:r>
    </w:p>
    <w:p w14:paraId="2594F93E" w14:textId="77777777" w:rsidR="00A67C72" w:rsidRDefault="005667C8">
      <w:pPr>
        <w:numPr>
          <w:ilvl w:val="0"/>
          <w:numId w:val="1"/>
        </w:numPr>
        <w:pBdr>
          <w:top w:val="nil"/>
          <w:left w:val="nil"/>
          <w:bottom w:val="nil"/>
          <w:right w:val="nil"/>
          <w:between w:val="nil"/>
        </w:pBdr>
        <w:bidi/>
      </w:pPr>
      <w:r>
        <w:rPr>
          <w:rtl/>
        </w:rPr>
        <w:t>3. قبول المخاطر (</w:t>
      </w:r>
      <w:r>
        <w:t>Risk Acceptance</w:t>
      </w:r>
      <w:r>
        <w:rPr>
          <w:rtl/>
        </w:rPr>
        <w:t>)</w:t>
      </w:r>
    </w:p>
    <w:p w14:paraId="5F2A764B" w14:textId="77777777" w:rsidR="00A67C72" w:rsidRDefault="005667C8">
      <w:pPr>
        <w:numPr>
          <w:ilvl w:val="0"/>
          <w:numId w:val="1"/>
        </w:numPr>
        <w:pBdr>
          <w:top w:val="nil"/>
          <w:left w:val="nil"/>
          <w:bottom w:val="nil"/>
          <w:right w:val="nil"/>
          <w:between w:val="nil"/>
        </w:pBdr>
        <w:bidi/>
      </w:pPr>
      <w:r>
        <w:rPr>
          <w:rtl/>
        </w:rPr>
        <w:t>4. مراجعة الرغبة في قبول المخاطر (</w:t>
      </w:r>
      <w:r>
        <w:t>Risk Appetite Review</w:t>
      </w:r>
      <w:r>
        <w:rPr>
          <w:rtl/>
        </w:rPr>
        <w:t>)</w:t>
      </w:r>
    </w:p>
    <w:p w14:paraId="7B0912FA" w14:textId="77777777" w:rsidR="00A67C72" w:rsidRDefault="005667C8">
      <w:pPr>
        <w:numPr>
          <w:ilvl w:val="0"/>
          <w:numId w:val="1"/>
        </w:numPr>
        <w:pBdr>
          <w:top w:val="nil"/>
          <w:left w:val="nil"/>
          <w:bottom w:val="nil"/>
          <w:right w:val="nil"/>
          <w:between w:val="nil"/>
        </w:pBdr>
        <w:bidi/>
      </w:pPr>
      <w:r>
        <w:rPr>
          <w:rtl/>
        </w:rPr>
        <w:t>5. الاعتماد التوقيع المؤسسي (</w:t>
      </w:r>
      <w:r>
        <w:t>Approval and Signature</w:t>
      </w:r>
      <w:r>
        <w:rPr>
          <w:rtl/>
        </w:rPr>
        <w:t>)</w:t>
      </w:r>
    </w:p>
    <w:p w14:paraId="262A0B11" w14:textId="77777777" w:rsidR="00A67C72" w:rsidRDefault="005667C8">
      <w:pPr>
        <w:pStyle w:val="1"/>
        <w:bidi/>
      </w:pPr>
      <w:r>
        <w:rPr>
          <w:rtl/>
        </w:rPr>
        <w:t>1. الغرض (</w:t>
      </w:r>
      <w:r>
        <w:t>Purpose</w:t>
      </w:r>
      <w:r>
        <w:rPr>
          <w:rtl/>
        </w:rPr>
        <w:t>)</w:t>
      </w:r>
    </w:p>
    <w:p w14:paraId="35F74399" w14:textId="77777777" w:rsidR="00A67C72" w:rsidRDefault="005667C8">
      <w:pPr>
        <w:pBdr>
          <w:top w:val="nil"/>
          <w:left w:val="nil"/>
          <w:bottom w:val="nil"/>
          <w:right w:val="nil"/>
          <w:between w:val="nil"/>
        </w:pBdr>
        <w:bidi/>
      </w:pPr>
      <w:r>
        <w:pict w14:anchorId="1C405E9C">
          <v:rect id="_x0000_i1026" style="width:0;height:1.5pt" o:hralign="center" o:hrstd="t" o:hr="t" fillcolor="#a0a0a0" stroked="f"/>
        </w:pict>
      </w:r>
      <w:r>
        <w:rPr>
          <w:rtl/>
        </w:rPr>
        <w:t xml:space="preserve">يُعرّف مستوى الرغبة في </w:t>
      </w:r>
      <w:r>
        <w:rPr>
          <w:rtl/>
        </w:rPr>
        <w:t>تقبل المخاطر (</w:t>
      </w:r>
      <w:r>
        <w:t>Risk Appetite</w:t>
      </w:r>
      <w:r>
        <w:rPr>
          <w:rtl/>
        </w:rPr>
        <w:t xml:space="preserve">) بمدى استعداد </w:t>
      </w:r>
      <w:r>
        <w:rPr>
          <w:b/>
          <w:bCs/>
          <w:rtl/>
        </w:rPr>
        <w:t>بنك الآفاق الرقمية</w:t>
      </w:r>
      <w:r>
        <w:rPr>
          <w:rtl/>
        </w:rPr>
        <w:t xml:space="preserve"> لمواجهة وقبول مستويات مختلفة من مخاطر أمن المعلومات في سبيل تحقيق أهدافه الاستراتيجية والمصرفية الرقمية [</w:t>
      </w:r>
      <w:r>
        <w:t>cite</w:t>
      </w:r>
      <w:r>
        <w:rPr>
          <w:rtl/>
        </w:rPr>
        <w:t>: 2, 13]. يحدد هذا البيان حدوداً وعتبات واضحة ومعايير لاتخاذ القرارات بشأن كيفية معالج</w:t>
      </w:r>
      <w:r>
        <w:rPr>
          <w:rtl/>
        </w:rPr>
        <w:t>ة المخاطر أو قبولها أو تصعيدها للجهات العليا [</w:t>
      </w:r>
      <w:r>
        <w:t>cite</w:t>
      </w:r>
      <w:r>
        <w:rPr>
          <w:rtl/>
        </w:rPr>
        <w:t>: 2, 13].</w:t>
      </w:r>
    </w:p>
    <w:p w14:paraId="69E915CD" w14:textId="77777777" w:rsidR="00A67C72" w:rsidRDefault="005667C8">
      <w:pPr>
        <w:pBdr>
          <w:top w:val="nil"/>
          <w:left w:val="nil"/>
          <w:bottom w:val="nil"/>
          <w:right w:val="nil"/>
          <w:between w:val="nil"/>
        </w:pBdr>
        <w:bidi/>
        <w:spacing w:after="375"/>
      </w:pPr>
      <w:r>
        <w:rPr>
          <w:rtl/>
        </w:rPr>
        <w:t>يضمن هذا البيان اتخاذ قرارات متسقة وموحدة بخصوص مخاطر أمن المعلومات عبر كافة القطاعات والإدارات في المقر الرئيسي بالرياض والفروع 25 ومركز البيانات ومركز التعافي بجدة، ويتوافق مع الحوكمة والاطار ال</w:t>
      </w:r>
      <w:r>
        <w:rPr>
          <w:rtl/>
        </w:rPr>
        <w:t>استراتيجي للبنك [</w:t>
      </w:r>
      <w:r>
        <w:t>cite</w:t>
      </w:r>
      <w:r>
        <w:rPr>
          <w:rtl/>
        </w:rPr>
        <w:t xml:space="preserve">: 2, 13]. يُعد التحديد الدقيق لمستوى الرغبة في تقبل المخاطر متطلباً أساسياً للامتثال لمواصفة </w:t>
      </w:r>
      <w:r>
        <w:t>ISO/IEC</w:t>
      </w:r>
      <w:r>
        <w:rPr>
          <w:rtl/>
        </w:rPr>
        <w:t xml:space="preserve"> 27001:2022 وإطار الأمن السيبراني للبنك المركزي السعودي (ساما)، حيث يمكن البنك من اتخاذ قرارات معالجة سريعة، وتخصيص الميزانية (البالغة </w:t>
      </w:r>
      <w:r>
        <w:rPr>
          <w:rtl/>
        </w:rPr>
        <w:t>12 إلى 18 مليون ريال) بكفاءة عالية، وضمان الإشراف المباشر للإدارة العليا على المخاطر الاستراتيجية [</w:t>
      </w:r>
      <w:r>
        <w:t>cite</w:t>
      </w:r>
      <w:r>
        <w:rPr>
          <w:rtl/>
        </w:rPr>
        <w:t>: 2, 13].</w:t>
      </w:r>
    </w:p>
    <w:p w14:paraId="2DF655C8" w14:textId="77777777" w:rsidR="00A67C72" w:rsidRDefault="005667C8">
      <w:pPr>
        <w:pStyle w:val="1"/>
        <w:bidi/>
        <w:spacing w:before="0"/>
      </w:pPr>
      <w:r>
        <w:rPr>
          <w:rtl/>
        </w:rPr>
        <w:t>2. عتبات الرغبة في قبول المخاطر (</w:t>
      </w:r>
      <w:r>
        <w:t>Risk Appetite Thresholds</w:t>
      </w:r>
      <w:r>
        <w:rPr>
          <w:rtl/>
        </w:rPr>
        <w:t>)</w:t>
      </w:r>
    </w:p>
    <w:p w14:paraId="5E459A3E" w14:textId="77777777" w:rsidR="00A67C72" w:rsidRDefault="005667C8">
      <w:pPr>
        <w:pBdr>
          <w:top w:val="nil"/>
          <w:left w:val="nil"/>
          <w:bottom w:val="nil"/>
          <w:right w:val="nil"/>
          <w:between w:val="nil"/>
        </w:pBdr>
        <w:bidi/>
        <w:spacing w:after="225"/>
      </w:pPr>
      <w:r>
        <w:pict w14:anchorId="6C7A44A3">
          <v:rect id="_x0000_i1027" style="width:0;height:1.5pt" o:hralign="center" o:hrstd="t" o:hr="t" fillcolor="#a0a0a0" stroked="f"/>
        </w:pict>
      </w:r>
      <w:r>
        <w:rPr>
          <w:rtl/>
        </w:rPr>
        <w:t xml:space="preserve">تطبق العتبات التالية على كافة مخاطر أمن المعلومات التي يتم تحديدها أثناء </w:t>
      </w:r>
      <w:r>
        <w:rPr>
          <w:rtl/>
        </w:rPr>
        <w:t>تقييمات المخاطر أو المراقبة المستمرة لعمليات البنك [</w:t>
      </w:r>
      <w:r>
        <w:t>cite</w:t>
      </w:r>
      <w:r>
        <w:rPr>
          <w:rtl/>
        </w:rPr>
        <w:t xml:space="preserve">: 13]. تُحدد درجة التقييم إجمالياً باستخدام حاصل ضرب الأحتمالية × الأثر بناءً على المنهجية المعرفّة في </w:t>
      </w:r>
      <w:r>
        <w:rPr>
          <w:b/>
          <w:bCs/>
        </w:rPr>
        <w:t>RT1 - Risk Assessment &amp; Treatment Methodology (ISMS-RT-01)</w:t>
      </w:r>
      <w:r>
        <w:t xml:space="preserve"> [cite: 8, 13]:</w:t>
      </w:r>
    </w:p>
    <w:tbl>
      <w:tblPr>
        <w:tblStyle w:val="a6"/>
        <w:bidiVisual/>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A67C72" w14:paraId="4468521C" w14:textId="77777777">
        <w:trPr>
          <w:tblHeader/>
        </w:trPr>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F3B2C65" w14:textId="77777777" w:rsidR="00A67C72" w:rsidRDefault="005667C8">
            <w:pPr>
              <w:pBdr>
                <w:top w:val="nil"/>
                <w:left w:val="nil"/>
                <w:bottom w:val="nil"/>
                <w:right w:val="nil"/>
                <w:between w:val="nil"/>
              </w:pBdr>
              <w:bidi/>
              <w:spacing w:before="150" w:after="150"/>
              <w:rPr>
                <w:b/>
                <w:bCs/>
                <w:color w:val="FFFFFF"/>
                <w:sz w:val="20"/>
                <w:szCs w:val="20"/>
              </w:rPr>
            </w:pPr>
            <w:r>
              <w:rPr>
                <w:b/>
                <w:bCs/>
                <w:color w:val="FFFFFF"/>
                <w:sz w:val="20"/>
                <w:szCs w:val="20"/>
                <w:rtl/>
              </w:rPr>
              <w:t>مستوى المخاطرة (</w:t>
            </w:r>
            <w:r>
              <w:rPr>
                <w:b/>
                <w:bCs/>
                <w:color w:val="FFFFFF"/>
                <w:sz w:val="20"/>
                <w:szCs w:val="20"/>
              </w:rPr>
              <w:t>Risk Le</w:t>
            </w:r>
            <w:r>
              <w:rPr>
                <w:b/>
                <w:bCs/>
                <w:color w:val="FFFFFF"/>
                <w:sz w:val="20"/>
                <w:szCs w:val="20"/>
              </w:rPr>
              <w:t>vel</w:t>
            </w:r>
            <w:r>
              <w:rPr>
                <w:b/>
                <w:bCs/>
                <w:color w:val="FFFFFF"/>
                <w:sz w:val="20"/>
                <w:szCs w:val="20"/>
                <w:rtl/>
              </w:rPr>
              <w:t>)</w:t>
            </w:r>
          </w:p>
        </w:tc>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0C22D970" w14:textId="77777777" w:rsidR="00A67C72" w:rsidRDefault="005667C8">
            <w:pPr>
              <w:pBdr>
                <w:top w:val="nil"/>
                <w:left w:val="nil"/>
                <w:bottom w:val="nil"/>
                <w:right w:val="nil"/>
                <w:between w:val="nil"/>
              </w:pBdr>
              <w:bidi/>
              <w:spacing w:before="150" w:after="150"/>
              <w:rPr>
                <w:b/>
                <w:bCs/>
                <w:color w:val="FFFFFF"/>
                <w:sz w:val="20"/>
                <w:szCs w:val="20"/>
              </w:rPr>
            </w:pPr>
            <w:r>
              <w:rPr>
                <w:b/>
                <w:bCs/>
                <w:color w:val="FFFFFF"/>
                <w:sz w:val="20"/>
                <w:szCs w:val="20"/>
                <w:rtl/>
              </w:rPr>
              <w:t>نطاق درجة المخاطرة (</w:t>
            </w:r>
            <w:r>
              <w:rPr>
                <w:b/>
                <w:bCs/>
                <w:color w:val="FFFFFF"/>
                <w:sz w:val="20"/>
                <w:szCs w:val="20"/>
              </w:rPr>
              <w:t>Risk Score Range</w:t>
            </w:r>
            <w:r>
              <w:rPr>
                <w:b/>
                <w:bCs/>
                <w:color w:val="FFFFFF"/>
                <w:sz w:val="20"/>
                <w:szCs w:val="20"/>
                <w:rtl/>
              </w:rPr>
              <w:t>)</w:t>
            </w:r>
          </w:p>
        </w:tc>
        <w:tc>
          <w:tcPr>
            <w:tcW w:w="3120" w:type="dxa"/>
            <w:tcBorders>
              <w:top w:val="single" w:sz="6" w:space="0" w:color="0096A6"/>
              <w:left w:val="single" w:sz="6" w:space="0" w:color="0096A6"/>
              <w:bottom w:val="single" w:sz="6" w:space="0" w:color="0096A6"/>
              <w:right w:val="single" w:sz="6" w:space="0" w:color="0096A6"/>
            </w:tcBorders>
            <w:shd w:val="clear" w:color="auto" w:fill="0096A6"/>
            <w:tcMar>
              <w:top w:w="150" w:type="dxa"/>
              <w:left w:w="150" w:type="dxa"/>
              <w:bottom w:w="150" w:type="dxa"/>
              <w:right w:w="150" w:type="dxa"/>
            </w:tcMar>
          </w:tcPr>
          <w:p w14:paraId="2FFC60C0" w14:textId="77777777" w:rsidR="00A67C72" w:rsidRDefault="005667C8">
            <w:pPr>
              <w:pBdr>
                <w:top w:val="nil"/>
                <w:left w:val="nil"/>
                <w:bottom w:val="nil"/>
                <w:right w:val="nil"/>
                <w:between w:val="nil"/>
              </w:pBdr>
              <w:bidi/>
              <w:spacing w:before="150" w:after="150"/>
              <w:rPr>
                <w:b/>
                <w:bCs/>
                <w:color w:val="FFFFFF"/>
                <w:sz w:val="20"/>
                <w:szCs w:val="20"/>
              </w:rPr>
            </w:pPr>
            <w:r>
              <w:rPr>
                <w:b/>
                <w:bCs/>
                <w:color w:val="FFFFFF"/>
                <w:sz w:val="20"/>
                <w:szCs w:val="20"/>
                <w:rtl/>
              </w:rPr>
              <w:t>متطلبات الرغبة في المخاطرة والمعالجة (</w:t>
            </w:r>
            <w:r>
              <w:rPr>
                <w:b/>
                <w:bCs/>
                <w:color w:val="FFFFFF"/>
                <w:sz w:val="20"/>
                <w:szCs w:val="20"/>
              </w:rPr>
              <w:t>Appetite &amp; Treatment Requirement</w:t>
            </w:r>
            <w:r>
              <w:rPr>
                <w:b/>
                <w:bCs/>
                <w:color w:val="FFFFFF"/>
                <w:sz w:val="20"/>
                <w:szCs w:val="20"/>
                <w:rtl/>
              </w:rPr>
              <w:t>)</w:t>
            </w:r>
          </w:p>
          <w:p w14:paraId="00186F09" w14:textId="77777777" w:rsidR="00A67C72" w:rsidRDefault="005667C8">
            <w:pPr>
              <w:pBdr>
                <w:top w:val="nil"/>
                <w:left w:val="nil"/>
                <w:bottom w:val="nil"/>
                <w:right w:val="nil"/>
                <w:between w:val="nil"/>
              </w:pBdr>
            </w:pPr>
            <w:r>
              <w:t xml:space="preserve"> </w:t>
            </w:r>
          </w:p>
        </w:tc>
      </w:tr>
      <w:tr w:rsidR="00A67C72" w14:paraId="67295D72"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7122CB98" w14:textId="77777777" w:rsidR="00A67C72" w:rsidRDefault="005667C8">
            <w:pPr>
              <w:pBdr>
                <w:top w:val="nil"/>
                <w:left w:val="nil"/>
                <w:bottom w:val="nil"/>
                <w:right w:val="nil"/>
                <w:between w:val="nil"/>
              </w:pBdr>
              <w:bidi/>
              <w:spacing w:before="120" w:after="120"/>
              <w:rPr>
                <w:b/>
                <w:bCs/>
                <w:sz w:val="18"/>
                <w:szCs w:val="18"/>
              </w:rPr>
            </w:pPr>
            <w:r>
              <w:rPr>
                <w:b/>
                <w:bCs/>
                <w:sz w:val="18"/>
                <w:szCs w:val="18"/>
                <w:rtl/>
              </w:rPr>
              <w:t>منخفضة (</w:t>
            </w:r>
            <w:r>
              <w:rPr>
                <w:b/>
                <w:bCs/>
                <w:sz w:val="18"/>
                <w:szCs w:val="18"/>
              </w:rPr>
              <w:t>LOW</w:t>
            </w:r>
            <w:r>
              <w:rPr>
                <w:b/>
                <w:bCs/>
                <w:sz w:val="18"/>
                <w:szCs w:val="18"/>
                <w:rtl/>
              </w:rPr>
              <w: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EE98260" w14:textId="77777777" w:rsidR="00A67C72" w:rsidRDefault="005667C8">
            <w:pPr>
              <w:pBdr>
                <w:top w:val="nil"/>
                <w:left w:val="nil"/>
                <w:bottom w:val="nil"/>
                <w:right w:val="nil"/>
                <w:between w:val="nil"/>
              </w:pBdr>
              <w:bidi/>
              <w:spacing w:before="120" w:after="120"/>
              <w:rPr>
                <w:sz w:val="18"/>
                <w:szCs w:val="18"/>
              </w:rPr>
            </w:pPr>
            <w:r>
              <w:rPr>
                <w:sz w:val="18"/>
                <w:szCs w:val="18"/>
              </w:rPr>
              <w:t>1 - 4</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F3B75F7" w14:textId="77777777" w:rsidR="00A67C72" w:rsidRDefault="005667C8">
            <w:pPr>
              <w:pBdr>
                <w:top w:val="nil"/>
                <w:left w:val="nil"/>
                <w:bottom w:val="nil"/>
                <w:right w:val="nil"/>
                <w:between w:val="nil"/>
              </w:pBdr>
              <w:bidi/>
              <w:spacing w:before="120" w:after="120"/>
              <w:rPr>
                <w:sz w:val="18"/>
                <w:szCs w:val="18"/>
              </w:rPr>
            </w:pPr>
            <w:r>
              <w:rPr>
                <w:sz w:val="18"/>
                <w:szCs w:val="18"/>
                <w:rtl/>
              </w:rPr>
              <w:t>يمكن قبول المخاطرة بدون خطة معالجة رسمية. يُكتفى بتوثيق التبرير المبرر في سجل المخاطر (</w:t>
            </w:r>
            <w:r>
              <w:rPr>
                <w:sz w:val="18"/>
                <w:szCs w:val="18"/>
              </w:rPr>
              <w:t>Risk Log</w:t>
            </w:r>
            <w:r>
              <w:rPr>
                <w:sz w:val="18"/>
                <w:szCs w:val="18"/>
                <w:rtl/>
              </w:rPr>
              <w:t xml:space="preserve">). لا تتطلب تصعيداً. </w:t>
            </w:r>
            <w:r>
              <w:rPr>
                <w:sz w:val="18"/>
                <w:szCs w:val="18"/>
                <w:rtl/>
              </w:rPr>
              <w:t>تجري مراقبتها سنوياً لمتابعة التغييرات [</w:t>
            </w:r>
            <w:r>
              <w:rPr>
                <w:sz w:val="18"/>
                <w:szCs w:val="18"/>
              </w:rPr>
              <w:t>cite</w:t>
            </w:r>
            <w:r>
              <w:rPr>
                <w:sz w:val="18"/>
                <w:szCs w:val="18"/>
                <w:rtl/>
              </w:rPr>
              <w:t>: 13].</w:t>
            </w:r>
          </w:p>
        </w:tc>
      </w:tr>
      <w:tr w:rsidR="00A67C72" w14:paraId="65FAA35B"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38F2BAA7" w14:textId="77777777" w:rsidR="00A67C72" w:rsidRDefault="005667C8">
            <w:pPr>
              <w:pBdr>
                <w:top w:val="nil"/>
                <w:left w:val="nil"/>
                <w:bottom w:val="nil"/>
                <w:right w:val="nil"/>
                <w:between w:val="nil"/>
              </w:pBdr>
              <w:bidi/>
              <w:spacing w:before="120" w:after="120"/>
              <w:rPr>
                <w:b/>
                <w:bCs/>
                <w:sz w:val="18"/>
                <w:szCs w:val="18"/>
              </w:rPr>
            </w:pPr>
            <w:r>
              <w:rPr>
                <w:b/>
                <w:bCs/>
                <w:sz w:val="18"/>
                <w:szCs w:val="18"/>
                <w:rtl/>
              </w:rPr>
              <w:lastRenderedPageBreak/>
              <w:t>متوسطة (</w:t>
            </w:r>
            <w:r>
              <w:rPr>
                <w:b/>
                <w:bCs/>
                <w:sz w:val="18"/>
                <w:szCs w:val="18"/>
              </w:rPr>
              <w:t>MEDIUM</w:t>
            </w:r>
            <w:r>
              <w:rPr>
                <w:b/>
                <w:bCs/>
                <w:sz w:val="18"/>
                <w:szCs w:val="18"/>
                <w:rtl/>
              </w:rPr>
              <w: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2EF6325" w14:textId="77777777" w:rsidR="00A67C72" w:rsidRDefault="005667C8">
            <w:pPr>
              <w:pBdr>
                <w:top w:val="nil"/>
                <w:left w:val="nil"/>
                <w:bottom w:val="nil"/>
                <w:right w:val="nil"/>
                <w:between w:val="nil"/>
              </w:pBdr>
              <w:bidi/>
              <w:spacing w:before="120" w:after="120"/>
              <w:rPr>
                <w:sz w:val="18"/>
                <w:szCs w:val="18"/>
              </w:rPr>
            </w:pPr>
            <w:r>
              <w:rPr>
                <w:sz w:val="18"/>
                <w:szCs w:val="18"/>
              </w:rPr>
              <w:t>5 - 10</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44BB7169" w14:textId="77777777" w:rsidR="00A67C72" w:rsidRDefault="005667C8">
            <w:pPr>
              <w:pBdr>
                <w:top w:val="nil"/>
                <w:left w:val="nil"/>
                <w:bottom w:val="nil"/>
                <w:right w:val="nil"/>
                <w:between w:val="nil"/>
              </w:pBdr>
              <w:bidi/>
              <w:spacing w:before="120" w:after="120"/>
              <w:rPr>
                <w:sz w:val="18"/>
                <w:szCs w:val="18"/>
              </w:rPr>
            </w:pPr>
            <w:r>
              <w:rPr>
                <w:sz w:val="18"/>
                <w:szCs w:val="18"/>
                <w:rtl/>
              </w:rPr>
              <w:t>تتطلب خطة معالجة موثقة محددة بالمالك والتاريخ المستهدف للإنجاز. يُوصى بمراجعتها من قبل لجنة حوكمة أمن المعلومات (</w:t>
            </w:r>
            <w:r>
              <w:rPr>
                <w:sz w:val="18"/>
                <w:szCs w:val="18"/>
              </w:rPr>
              <w:t>ISG</w:t>
            </w:r>
            <w:r>
              <w:rPr>
                <w:sz w:val="18"/>
                <w:szCs w:val="18"/>
                <w:rtl/>
              </w:rPr>
              <w:t>). يتطلب رفع تقارير تقدم الإنجاز بشكل ربع سنوي [</w:t>
            </w:r>
            <w:r>
              <w:rPr>
                <w:sz w:val="18"/>
                <w:szCs w:val="18"/>
              </w:rPr>
              <w:t>cite</w:t>
            </w:r>
            <w:r>
              <w:rPr>
                <w:sz w:val="18"/>
                <w:szCs w:val="18"/>
                <w:rtl/>
              </w:rPr>
              <w:t>: 13].</w:t>
            </w:r>
          </w:p>
        </w:tc>
      </w:tr>
      <w:tr w:rsidR="00A67C72" w14:paraId="582AF747"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B59CE92" w14:textId="77777777" w:rsidR="00A67C72" w:rsidRDefault="005667C8">
            <w:pPr>
              <w:pBdr>
                <w:top w:val="nil"/>
                <w:left w:val="nil"/>
                <w:bottom w:val="nil"/>
                <w:right w:val="nil"/>
                <w:between w:val="nil"/>
              </w:pBdr>
              <w:bidi/>
              <w:spacing w:before="120" w:after="120"/>
              <w:rPr>
                <w:b/>
                <w:bCs/>
                <w:sz w:val="18"/>
                <w:szCs w:val="18"/>
              </w:rPr>
            </w:pPr>
            <w:r>
              <w:rPr>
                <w:b/>
                <w:bCs/>
                <w:sz w:val="18"/>
                <w:szCs w:val="18"/>
                <w:rtl/>
              </w:rPr>
              <w:t>عالية (</w:t>
            </w:r>
            <w:r>
              <w:rPr>
                <w:b/>
                <w:bCs/>
                <w:sz w:val="18"/>
                <w:szCs w:val="18"/>
              </w:rPr>
              <w:t>HIGH</w:t>
            </w:r>
            <w:r>
              <w:rPr>
                <w:b/>
                <w:bCs/>
                <w:sz w:val="18"/>
                <w:szCs w:val="18"/>
                <w:rtl/>
              </w:rPr>
              <w: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1F56A230" w14:textId="77777777" w:rsidR="00A67C72" w:rsidRDefault="005667C8">
            <w:pPr>
              <w:pBdr>
                <w:top w:val="nil"/>
                <w:left w:val="nil"/>
                <w:bottom w:val="nil"/>
                <w:right w:val="nil"/>
                <w:between w:val="nil"/>
              </w:pBdr>
              <w:bidi/>
              <w:spacing w:before="120" w:after="120"/>
              <w:rPr>
                <w:sz w:val="18"/>
                <w:szCs w:val="18"/>
              </w:rPr>
            </w:pPr>
            <w:r>
              <w:rPr>
                <w:sz w:val="18"/>
                <w:szCs w:val="18"/>
              </w:rPr>
              <w:t>11 - 15</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5998DB89" w14:textId="77777777" w:rsidR="00A67C72" w:rsidRDefault="005667C8">
            <w:pPr>
              <w:pBdr>
                <w:top w:val="nil"/>
                <w:left w:val="nil"/>
                <w:bottom w:val="nil"/>
                <w:right w:val="nil"/>
                <w:between w:val="nil"/>
              </w:pBdr>
              <w:bidi/>
              <w:spacing w:before="120" w:after="120"/>
              <w:rPr>
                <w:sz w:val="18"/>
                <w:szCs w:val="18"/>
              </w:rPr>
            </w:pPr>
            <w:r>
              <w:rPr>
                <w:sz w:val="18"/>
                <w:szCs w:val="18"/>
                <w:rtl/>
              </w:rPr>
              <w:t>تتطلب خطة معالجة موثقة ومصادق عليها رسمياً من لجنة حوكمة أمن المعلومات (</w:t>
            </w:r>
            <w:r>
              <w:rPr>
                <w:sz w:val="18"/>
                <w:szCs w:val="18"/>
              </w:rPr>
              <w:t>ISG</w:t>
            </w:r>
            <w:r>
              <w:rPr>
                <w:sz w:val="18"/>
                <w:szCs w:val="18"/>
                <w:rtl/>
              </w:rPr>
              <w:t>) قبل البدء بالتنفيذ. يخضع تنفيذها لإشراف وإلزام حوكمي صارم. تجري مراجعة إنجازها ربع سنوياً. تتطلب تعيين مالك تنفيذي تنفيذي رئيسي [</w:t>
            </w:r>
            <w:r>
              <w:rPr>
                <w:sz w:val="18"/>
                <w:szCs w:val="18"/>
              </w:rPr>
              <w:t>cite</w:t>
            </w:r>
            <w:r>
              <w:rPr>
                <w:sz w:val="18"/>
                <w:szCs w:val="18"/>
                <w:rtl/>
              </w:rPr>
              <w:t>: 13].</w:t>
            </w:r>
          </w:p>
        </w:tc>
      </w:tr>
      <w:tr w:rsidR="00A67C72" w14:paraId="319C61E6" w14:textId="77777777">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035D36D6" w14:textId="77777777" w:rsidR="00A67C72" w:rsidRDefault="005667C8">
            <w:pPr>
              <w:pBdr>
                <w:top w:val="nil"/>
                <w:left w:val="nil"/>
                <w:bottom w:val="nil"/>
                <w:right w:val="nil"/>
                <w:between w:val="nil"/>
              </w:pBdr>
              <w:bidi/>
              <w:spacing w:before="120" w:after="120"/>
              <w:rPr>
                <w:b/>
                <w:bCs/>
                <w:sz w:val="18"/>
                <w:szCs w:val="18"/>
              </w:rPr>
            </w:pPr>
            <w:r>
              <w:rPr>
                <w:b/>
                <w:bCs/>
                <w:sz w:val="18"/>
                <w:szCs w:val="18"/>
                <w:rtl/>
              </w:rPr>
              <w:t>حرجة (</w:t>
            </w:r>
            <w:r>
              <w:rPr>
                <w:b/>
                <w:bCs/>
                <w:sz w:val="18"/>
                <w:szCs w:val="18"/>
              </w:rPr>
              <w:t>CRITICAL</w:t>
            </w:r>
            <w:r>
              <w:rPr>
                <w:b/>
                <w:bCs/>
                <w:sz w:val="18"/>
                <w:szCs w:val="18"/>
                <w:rtl/>
              </w:rPr>
              <w: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2A0D73A1" w14:textId="77777777" w:rsidR="00A67C72" w:rsidRDefault="005667C8">
            <w:pPr>
              <w:pBdr>
                <w:top w:val="nil"/>
                <w:left w:val="nil"/>
                <w:bottom w:val="nil"/>
                <w:right w:val="nil"/>
                <w:between w:val="nil"/>
              </w:pBdr>
              <w:bidi/>
              <w:spacing w:before="120" w:after="120"/>
              <w:rPr>
                <w:sz w:val="18"/>
                <w:szCs w:val="18"/>
              </w:rPr>
            </w:pPr>
            <w:r>
              <w:rPr>
                <w:sz w:val="18"/>
                <w:szCs w:val="18"/>
              </w:rPr>
              <w:t>1</w:t>
            </w:r>
            <w:r>
              <w:rPr>
                <w:sz w:val="18"/>
                <w:szCs w:val="18"/>
              </w:rPr>
              <w:t>6 - 25</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120" w:type="dxa"/>
              <w:left w:w="150" w:type="dxa"/>
              <w:bottom w:w="120" w:type="dxa"/>
              <w:right w:w="150" w:type="dxa"/>
            </w:tcMar>
          </w:tcPr>
          <w:p w14:paraId="6119B0B1" w14:textId="77777777" w:rsidR="00A67C72" w:rsidRDefault="005667C8">
            <w:pPr>
              <w:pBdr>
                <w:top w:val="nil"/>
                <w:left w:val="nil"/>
                <w:bottom w:val="nil"/>
                <w:right w:val="nil"/>
                <w:between w:val="nil"/>
              </w:pBdr>
              <w:bidi/>
              <w:spacing w:before="120" w:after="120"/>
              <w:rPr>
                <w:sz w:val="18"/>
                <w:szCs w:val="18"/>
              </w:rPr>
            </w:pPr>
            <w:r>
              <w:rPr>
                <w:b/>
                <w:bCs/>
                <w:sz w:val="18"/>
                <w:szCs w:val="18"/>
                <w:rtl/>
              </w:rPr>
              <w:t>تتطلب تصعيداً فورياً</w:t>
            </w:r>
            <w:r>
              <w:rPr>
                <w:sz w:val="18"/>
                <w:szCs w:val="18"/>
                <w:rtl/>
              </w:rPr>
              <w:t xml:space="preserve"> إلى لجنة حوكمة أمن المعلومات (</w:t>
            </w:r>
            <w:r>
              <w:rPr>
                <w:sz w:val="18"/>
                <w:szCs w:val="18"/>
              </w:rPr>
              <w:t>ISG</w:t>
            </w:r>
            <w:r>
              <w:rPr>
                <w:sz w:val="18"/>
                <w:szCs w:val="18"/>
                <w:rtl/>
              </w:rPr>
              <w:t>) والإدارة التنفيذية (</w:t>
            </w:r>
            <w:r>
              <w:rPr>
                <w:sz w:val="18"/>
                <w:szCs w:val="18"/>
              </w:rPr>
              <w:t>CEO</w:t>
            </w:r>
            <w:r>
              <w:rPr>
                <w:sz w:val="18"/>
                <w:szCs w:val="18"/>
                <w:rtl/>
              </w:rPr>
              <w:t xml:space="preserve">). إعداد خطة معالجة رسمية ومحدثة إلزامية إجبارياً. </w:t>
            </w:r>
            <w:r>
              <w:rPr>
                <w:b/>
                <w:bCs/>
                <w:sz w:val="18"/>
                <w:szCs w:val="18"/>
                <w:rtl/>
              </w:rPr>
              <w:t>لا يمكن قبول هذه المخاطرة إطلاقاً</w:t>
            </w:r>
            <w:r>
              <w:rPr>
                <w:sz w:val="18"/>
                <w:szCs w:val="18"/>
                <w:rtl/>
              </w:rPr>
              <w:t xml:space="preserve"> إلا بموافقة إخطارية كتابية صريحة من الرئيس التنفيذي. مراجعة الإنجاز شهرية </w:t>
            </w:r>
            <w:r>
              <w:rPr>
                <w:sz w:val="18"/>
                <w:szCs w:val="18"/>
                <w:rtl/>
              </w:rPr>
              <w:t>وتتطلب وجود خطة طوارئ بديلة (</w:t>
            </w:r>
            <w:r>
              <w:rPr>
                <w:sz w:val="18"/>
                <w:szCs w:val="18"/>
              </w:rPr>
              <w:t>Contingency Plan) [cite</w:t>
            </w:r>
            <w:r>
              <w:rPr>
                <w:sz w:val="18"/>
                <w:szCs w:val="18"/>
                <w:rtl/>
              </w:rPr>
              <w:t>: 13].</w:t>
            </w:r>
          </w:p>
        </w:tc>
      </w:tr>
    </w:tbl>
    <w:p w14:paraId="57648819" w14:textId="77777777" w:rsidR="00A67C72" w:rsidRDefault="005667C8">
      <w:pPr>
        <w:pStyle w:val="1"/>
        <w:bidi/>
      </w:pPr>
      <w:r>
        <w:rPr>
          <w:rtl/>
        </w:rPr>
        <w:t>3. قبول المخاطر (</w:t>
      </w:r>
      <w:r>
        <w:t>Risk Acceptance</w:t>
      </w:r>
      <w:r>
        <w:rPr>
          <w:rtl/>
        </w:rPr>
        <w:t>)</w:t>
      </w:r>
    </w:p>
    <w:p w14:paraId="46C6153A" w14:textId="77777777" w:rsidR="00A67C72" w:rsidRDefault="005667C8">
      <w:pPr>
        <w:pBdr>
          <w:top w:val="nil"/>
          <w:left w:val="nil"/>
          <w:bottom w:val="nil"/>
          <w:right w:val="nil"/>
          <w:between w:val="nil"/>
        </w:pBdr>
        <w:bidi/>
      </w:pPr>
      <w:r>
        <w:pict w14:anchorId="29A8035F">
          <v:rect id="_x0000_i1028" style="width:0;height:1.5pt" o:hralign="center" o:hrstd="t" o:hr="t" fillcolor="#a0a0a0" stroked="f"/>
        </w:pict>
      </w:r>
      <w:r>
        <w:rPr>
          <w:rtl/>
        </w:rPr>
        <w:t>المخاطر التي لا يمكن تخفيفها أو خفض مستواها لما دون المستوى العالي (</w:t>
      </w:r>
      <w:r>
        <w:t>High - Score</w:t>
      </w:r>
      <w:r>
        <w:rPr>
          <w:rtl/>
        </w:rPr>
        <w:t xml:space="preserve"> 11-15) خلال 90 يوماً من اكتشافها يجب تصعيدها فوراً إلى لجنة حوكمة أمن المعلومات </w:t>
      </w:r>
      <w:r>
        <w:rPr>
          <w:rtl/>
        </w:rPr>
        <w:t>لاتخاذ قرار القبول أو المعالجة المتقدمة [</w:t>
      </w:r>
      <w:r>
        <w:t>cite</w:t>
      </w:r>
      <w:r>
        <w:rPr>
          <w:rtl/>
        </w:rPr>
        <w:t>: 13].</w:t>
      </w:r>
    </w:p>
    <w:p w14:paraId="38292C5C" w14:textId="77777777" w:rsidR="00A67C72" w:rsidRDefault="005667C8">
      <w:pPr>
        <w:pBdr>
          <w:top w:val="nil"/>
          <w:left w:val="nil"/>
          <w:bottom w:val="nil"/>
          <w:right w:val="nil"/>
          <w:between w:val="nil"/>
        </w:pBdr>
        <w:bidi/>
        <w:rPr>
          <w:b/>
          <w:bCs/>
        </w:rPr>
      </w:pPr>
      <w:r>
        <w:rPr>
          <w:b/>
          <w:bCs/>
          <w:rtl/>
        </w:rPr>
        <w:t>يجب أن تستوفي قرارات قبول المخاطر الضوابط والشروط التالية [</w:t>
      </w:r>
      <w:r>
        <w:rPr>
          <w:b/>
          <w:bCs/>
        </w:rPr>
        <w:t>cite</w:t>
      </w:r>
      <w:r>
        <w:rPr>
          <w:b/>
          <w:bCs/>
          <w:rtl/>
        </w:rPr>
        <w:t>: 13]:</w:t>
      </w:r>
    </w:p>
    <w:p w14:paraId="1E979A8B" w14:textId="77777777" w:rsidR="00A67C72" w:rsidRDefault="005667C8">
      <w:pPr>
        <w:numPr>
          <w:ilvl w:val="0"/>
          <w:numId w:val="2"/>
        </w:numPr>
        <w:pBdr>
          <w:top w:val="nil"/>
          <w:left w:val="nil"/>
          <w:bottom w:val="nil"/>
          <w:right w:val="nil"/>
          <w:between w:val="nil"/>
        </w:pBdr>
        <w:bidi/>
      </w:pPr>
      <w:r>
        <w:rPr>
          <w:rtl/>
        </w:rPr>
        <w:t>أن تُتخذ عند المستوى الإداري المناسب داخل البنك (المخاطر المتوسطة: مدير الإدارة/القسم، المخاطر العالية: مدير القطاع/</w:t>
      </w:r>
      <w:r>
        <w:t>CISO</w:t>
      </w:r>
      <w:r>
        <w:rPr>
          <w:rtl/>
        </w:rPr>
        <w:t xml:space="preserve">، </w:t>
      </w:r>
      <w:r>
        <w:rPr>
          <w:rtl/>
        </w:rPr>
        <w:t xml:space="preserve">المخاطر الحرجة: الرئيس التنفيذي </w:t>
      </w:r>
      <w:r>
        <w:t>CEO</w:t>
      </w:r>
      <w:r>
        <w:rPr>
          <w:rtl/>
        </w:rPr>
        <w:t xml:space="preserve"> ومجلس الإدارة) [</w:t>
      </w:r>
      <w:r>
        <w:t>cite</w:t>
      </w:r>
      <w:r>
        <w:rPr>
          <w:rtl/>
        </w:rPr>
        <w:t>: 13].</w:t>
      </w:r>
    </w:p>
    <w:p w14:paraId="39108729" w14:textId="77777777" w:rsidR="00A67C72" w:rsidRDefault="005667C8">
      <w:pPr>
        <w:numPr>
          <w:ilvl w:val="0"/>
          <w:numId w:val="2"/>
        </w:numPr>
        <w:pBdr>
          <w:top w:val="nil"/>
          <w:left w:val="nil"/>
          <w:bottom w:val="nil"/>
          <w:right w:val="nil"/>
          <w:between w:val="nil"/>
        </w:pBdr>
        <w:bidi/>
      </w:pPr>
      <w:r>
        <w:rPr>
          <w:rtl/>
        </w:rPr>
        <w:t>أن تُوثق كتابياً مع مبررات أعمال وبرهنة تشغيلية ومالية واضحة ومحددة [</w:t>
      </w:r>
      <w:r>
        <w:t>cite</w:t>
      </w:r>
      <w:r>
        <w:rPr>
          <w:rtl/>
        </w:rPr>
        <w:t>: 13].</w:t>
      </w:r>
    </w:p>
    <w:p w14:paraId="4A1E005E" w14:textId="77777777" w:rsidR="00A67C72" w:rsidRDefault="005667C8">
      <w:pPr>
        <w:numPr>
          <w:ilvl w:val="0"/>
          <w:numId w:val="2"/>
        </w:numPr>
        <w:pBdr>
          <w:top w:val="nil"/>
          <w:left w:val="nil"/>
          <w:bottom w:val="nil"/>
          <w:right w:val="nil"/>
          <w:between w:val="nil"/>
        </w:pBdr>
        <w:bidi/>
      </w:pPr>
      <w:r>
        <w:rPr>
          <w:rtl/>
        </w:rPr>
        <w:t>أن تتضمن تحديد الضوابط التعويضية المطبقة (</w:t>
      </w:r>
      <w:r>
        <w:t>Compensating Controls</w:t>
      </w:r>
      <w:r>
        <w:rPr>
          <w:rtl/>
        </w:rPr>
        <w:t>)، إن وجدت [</w:t>
      </w:r>
      <w:r>
        <w:t>cite</w:t>
      </w:r>
      <w:r>
        <w:rPr>
          <w:rtl/>
        </w:rPr>
        <w:t>: 13].</w:t>
      </w:r>
    </w:p>
    <w:p w14:paraId="7C00F322" w14:textId="77777777" w:rsidR="00A67C72" w:rsidRDefault="005667C8">
      <w:pPr>
        <w:numPr>
          <w:ilvl w:val="0"/>
          <w:numId w:val="2"/>
        </w:numPr>
        <w:pBdr>
          <w:top w:val="nil"/>
          <w:left w:val="nil"/>
          <w:bottom w:val="nil"/>
          <w:right w:val="nil"/>
          <w:between w:val="nil"/>
        </w:pBdr>
        <w:bidi/>
      </w:pPr>
      <w:r>
        <w:rPr>
          <w:rtl/>
        </w:rPr>
        <w:t>أن تراجع سنوياً على الأقل أ</w:t>
      </w:r>
      <w:r>
        <w:rPr>
          <w:rtl/>
        </w:rPr>
        <w:t>و عند حدوث تغييرات جوهرية في البيئة التشغيلية أو التهديدات السيبرانية [</w:t>
      </w:r>
      <w:r>
        <w:t>cite</w:t>
      </w:r>
      <w:r>
        <w:rPr>
          <w:rtl/>
        </w:rPr>
        <w:t>: 13].</w:t>
      </w:r>
    </w:p>
    <w:p w14:paraId="4B7C4926" w14:textId="77777777" w:rsidR="00A67C72" w:rsidRDefault="005667C8">
      <w:pPr>
        <w:pStyle w:val="1"/>
        <w:bidi/>
      </w:pPr>
      <w:r>
        <w:rPr>
          <w:rtl/>
        </w:rPr>
        <w:t>4. مراجعة الرغبة في قبول المخاطر (</w:t>
      </w:r>
      <w:r>
        <w:t>Risk Appetite Review</w:t>
      </w:r>
      <w:r>
        <w:rPr>
          <w:rtl/>
        </w:rPr>
        <w:t>)</w:t>
      </w:r>
    </w:p>
    <w:p w14:paraId="7A0F22EC" w14:textId="77777777" w:rsidR="00A67C72" w:rsidRDefault="005667C8">
      <w:pPr>
        <w:pBdr>
          <w:top w:val="nil"/>
          <w:left w:val="nil"/>
          <w:bottom w:val="nil"/>
          <w:right w:val="nil"/>
          <w:between w:val="nil"/>
        </w:pBdr>
        <w:bidi/>
        <w:spacing w:after="375"/>
      </w:pPr>
      <w:r>
        <w:lastRenderedPageBreak/>
        <w:pict w14:anchorId="2D962B8E">
          <v:rect id="_x0000_i1029" style="width:0;height:1.5pt" o:hralign="center" o:hrstd="t" o:hr="t" fillcolor="#a0a0a0" stroked="f"/>
        </w:pict>
      </w:r>
      <w:r>
        <w:rPr>
          <w:rtl/>
        </w:rPr>
        <w:t>يتم مراجعة هذا البيان سنوياً كجزء رئيسي من عملية مراجعة الإدارة (</w:t>
      </w:r>
      <w:r>
        <w:t>Management Review Process</w:t>
      </w:r>
      <w:r>
        <w:rPr>
          <w:rtl/>
        </w:rPr>
        <w:t>) المعتمدة [</w:t>
      </w:r>
      <w:r>
        <w:t>cite</w:t>
      </w:r>
      <w:r>
        <w:rPr>
          <w:rtl/>
        </w:rPr>
        <w:t>: 13]. ستحد</w:t>
      </w:r>
      <w:r>
        <w:rPr>
          <w:rtl/>
        </w:rPr>
        <w:t>د المراجعة ما إذا كانت عتبات الرغبة في تقبل المخاطر لا تزال مناسبة وسليمة بالنظر إلى التغيرات المؤسسية والتنظيمية في المملكة العربية السعودية (تعليمات ساما وسدايا)، وتطور مشهد التهديدات السيبرانية، والقرارات السابقة المتعلقة بالمخاطر [</w:t>
      </w:r>
      <w:r>
        <w:t>cite</w:t>
      </w:r>
      <w:r>
        <w:rPr>
          <w:rtl/>
        </w:rPr>
        <w:t>: 2, 13].</w:t>
      </w:r>
    </w:p>
    <w:p w14:paraId="31BBBC0F" w14:textId="77777777" w:rsidR="00A67C72" w:rsidRDefault="005667C8">
      <w:pPr>
        <w:pStyle w:val="1"/>
        <w:bidi/>
        <w:spacing w:before="0"/>
      </w:pPr>
      <w:r>
        <w:rPr>
          <w:rtl/>
        </w:rPr>
        <w:t>5. الاع</w:t>
      </w:r>
      <w:r>
        <w:rPr>
          <w:rtl/>
        </w:rPr>
        <w:t>تماد والتوقيع المؤسسي (</w:t>
      </w:r>
      <w:r>
        <w:t>Approval and Signature</w:t>
      </w:r>
      <w:r>
        <w:rPr>
          <w:rtl/>
        </w:rPr>
        <w:t>)</w:t>
      </w:r>
    </w:p>
    <w:p w14:paraId="0A2A5CE6" w14:textId="77777777" w:rsidR="00A67C72" w:rsidRDefault="005667C8">
      <w:pPr>
        <w:pBdr>
          <w:top w:val="nil"/>
          <w:left w:val="nil"/>
          <w:bottom w:val="nil"/>
          <w:right w:val="nil"/>
          <w:between w:val="nil"/>
        </w:pBdr>
        <w:bidi/>
        <w:spacing w:before="180" w:after="405"/>
        <w:ind w:left="225" w:right="225"/>
      </w:pPr>
      <w:r>
        <w:pict w14:anchorId="7511AA78">
          <v:rect id="_x0000_i1030" style="width:0;height:1.5pt" o:hralign="center" o:hrstd="t" o:hr="t" fillcolor="#a0a0a0" stroked="f"/>
        </w:pict>
      </w:r>
    </w:p>
    <w:p w14:paraId="163AA80B" w14:textId="77777777" w:rsidR="00A67C72" w:rsidRDefault="005667C8">
      <w:pPr>
        <w:pBdr>
          <w:top w:val="nil"/>
          <w:left w:val="nil"/>
          <w:bottom w:val="nil"/>
          <w:right w:val="nil"/>
          <w:between w:val="nil"/>
        </w:pBdr>
        <w:bidi/>
        <w:ind w:left="225" w:right="225"/>
        <w:rPr>
          <w:b/>
          <w:bCs/>
          <w:shd w:val="clear" w:color="auto" w:fill="E0F2F1"/>
        </w:rPr>
      </w:pPr>
      <w:r>
        <w:rPr>
          <w:b/>
          <w:bCs/>
          <w:shd w:val="clear" w:color="auto" w:fill="E0F2F1"/>
          <w:rtl/>
        </w:rPr>
        <w:t>اعتماد الإدارة العليا (</w:t>
      </w:r>
      <w:r>
        <w:rPr>
          <w:b/>
          <w:bCs/>
          <w:shd w:val="clear" w:color="auto" w:fill="E0F2F1"/>
        </w:rPr>
        <w:t>Senior Management Approval</w:t>
      </w:r>
      <w:r>
        <w:rPr>
          <w:b/>
          <w:bCs/>
          <w:shd w:val="clear" w:color="auto" w:fill="E0F2F1"/>
          <w:rtl/>
        </w:rPr>
        <w:t>):</w:t>
      </w:r>
    </w:p>
    <w:p w14:paraId="634D6238" w14:textId="77777777" w:rsidR="00A67C72" w:rsidRDefault="00A67C72">
      <w:pPr>
        <w:pBdr>
          <w:top w:val="nil"/>
          <w:left w:val="nil"/>
          <w:bottom w:val="nil"/>
          <w:right w:val="nil"/>
          <w:between w:val="nil"/>
        </w:pBdr>
        <w:bidi/>
        <w:ind w:left="225" w:right="225"/>
        <w:rPr>
          <w:b/>
          <w:bCs/>
          <w:shd w:val="clear" w:color="auto" w:fill="E0F2F1"/>
        </w:rPr>
      </w:pPr>
    </w:p>
    <w:p w14:paraId="2ABDEF56" w14:textId="77777777" w:rsidR="00A67C72" w:rsidRDefault="005667C8">
      <w:pPr>
        <w:pBdr>
          <w:top w:val="nil"/>
          <w:left w:val="nil"/>
          <w:bottom w:val="nil"/>
          <w:right w:val="nil"/>
          <w:between w:val="nil"/>
        </w:pBdr>
        <w:bidi/>
        <w:ind w:left="225" w:right="225"/>
        <w:rPr>
          <w:shd w:val="clear" w:color="auto" w:fill="E0F2F1"/>
        </w:rPr>
      </w:pPr>
      <w:r>
        <w:rPr>
          <w:shd w:val="clear" w:color="auto" w:fill="E0F2F1"/>
          <w:rtl/>
        </w:rPr>
        <w:t>التوقيع: _____________________________________________________</w:t>
      </w:r>
    </w:p>
    <w:p w14:paraId="53938CC9" w14:textId="77777777" w:rsidR="00A67C72" w:rsidRDefault="005667C8">
      <w:pPr>
        <w:pBdr>
          <w:top w:val="nil"/>
          <w:left w:val="nil"/>
          <w:bottom w:val="nil"/>
          <w:right w:val="nil"/>
          <w:between w:val="nil"/>
        </w:pBdr>
        <w:bidi/>
        <w:ind w:left="225" w:right="225"/>
        <w:rPr>
          <w:b/>
          <w:bCs/>
          <w:shd w:val="clear" w:color="auto" w:fill="E0F2F1"/>
        </w:rPr>
      </w:pPr>
      <w:r>
        <w:rPr>
          <w:shd w:val="clear" w:color="auto" w:fill="E0F2F1"/>
          <w:rtl/>
        </w:rPr>
        <w:t xml:space="preserve">الاسم: </w:t>
      </w:r>
      <w:r>
        <w:rPr>
          <w:b/>
          <w:bCs/>
          <w:shd w:val="clear" w:color="auto" w:fill="E0F2F1"/>
          <w:rtl/>
        </w:rPr>
        <w:t>د. نورة القحطاني</w:t>
      </w:r>
    </w:p>
    <w:p w14:paraId="5E8CCCFD" w14:textId="77777777" w:rsidR="00A67C72" w:rsidRDefault="005667C8">
      <w:pPr>
        <w:pBdr>
          <w:top w:val="nil"/>
          <w:left w:val="nil"/>
          <w:bottom w:val="nil"/>
          <w:right w:val="nil"/>
          <w:between w:val="nil"/>
        </w:pBdr>
        <w:bidi/>
        <w:ind w:left="225" w:right="225"/>
        <w:rPr>
          <w:b/>
          <w:bCs/>
          <w:shd w:val="clear" w:color="auto" w:fill="E0F2F1"/>
        </w:rPr>
      </w:pPr>
      <w:r>
        <w:rPr>
          <w:shd w:val="clear" w:color="auto" w:fill="E0F2F1"/>
          <w:rtl/>
        </w:rPr>
        <w:t xml:space="preserve">المسمى الوظيفي: </w:t>
      </w:r>
      <w:r>
        <w:rPr>
          <w:b/>
          <w:bCs/>
          <w:shd w:val="clear" w:color="auto" w:fill="E0F2F1"/>
          <w:rtl/>
        </w:rPr>
        <w:t>الرئيس التنفيذي (</w:t>
      </w:r>
      <w:r>
        <w:rPr>
          <w:b/>
          <w:bCs/>
          <w:shd w:val="clear" w:color="auto" w:fill="E0F2F1"/>
        </w:rPr>
        <w:t>CEO</w:t>
      </w:r>
      <w:r>
        <w:rPr>
          <w:b/>
          <w:bCs/>
          <w:shd w:val="clear" w:color="auto" w:fill="E0F2F1"/>
          <w:rtl/>
        </w:rPr>
        <w:t>) — بنك الآفاق الرقمية</w:t>
      </w:r>
    </w:p>
    <w:p w14:paraId="5AA0FB2C" w14:textId="77777777" w:rsidR="00A67C72" w:rsidRDefault="005667C8">
      <w:pPr>
        <w:pBdr>
          <w:top w:val="nil"/>
          <w:left w:val="nil"/>
          <w:bottom w:val="nil"/>
          <w:right w:val="nil"/>
          <w:between w:val="nil"/>
        </w:pBdr>
        <w:bidi/>
        <w:ind w:left="225" w:right="225"/>
        <w:rPr>
          <w:b/>
          <w:bCs/>
          <w:shd w:val="clear" w:color="auto" w:fill="E0F2F1"/>
        </w:rPr>
      </w:pPr>
      <w:r>
        <w:rPr>
          <w:shd w:val="clear" w:color="auto" w:fill="E0F2F1"/>
          <w:rtl/>
        </w:rPr>
        <w:t xml:space="preserve">التاريخ: </w:t>
      </w:r>
      <w:r>
        <w:rPr>
          <w:b/>
          <w:bCs/>
          <w:shd w:val="clear" w:color="auto" w:fill="E0F2F1"/>
          <w:rtl/>
        </w:rPr>
        <w:t>12 سبتمبر 2026</w:t>
      </w:r>
    </w:p>
    <w:sectPr w:rsidR="00A67C7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2CF16DC-25BE-4901-917C-9841AC3630DA}"/>
  </w:font>
  <w:font w:name="Calibri">
    <w:panose1 w:val="020F0502020204030204"/>
    <w:charset w:val="00"/>
    <w:family w:val="swiss"/>
    <w:pitch w:val="variable"/>
    <w:sig w:usb0="E4002EFF" w:usb1="C200247B" w:usb2="00000009" w:usb3="00000000" w:csb0="000001FF" w:csb1="00000000"/>
    <w:embedRegular r:id="rId2" w:fontKey="{4FABE7EE-6D14-4880-8EC1-9715A1FE15E5}"/>
  </w:font>
  <w:font w:name="Cambria">
    <w:panose1 w:val="02040503050406030204"/>
    <w:charset w:val="00"/>
    <w:family w:val="roman"/>
    <w:pitch w:val="variable"/>
    <w:sig w:usb0="E00006FF" w:usb1="420024FF" w:usb2="02000000" w:usb3="00000000" w:csb0="0000019F" w:csb1="00000000"/>
    <w:embedRegular r:id="rId3" w:fontKey="{DF34DC0F-982A-4809-9522-CA76B0D8AC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3E6800"/>
    <w:multiLevelType w:val="multilevel"/>
    <w:tmpl w:val="3D38FF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3A96B05"/>
    <w:multiLevelType w:val="multilevel"/>
    <w:tmpl w:val="F83234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C72"/>
    <w:rsid w:val="005667C8"/>
    <w:rsid w:val="00A67C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E991"/>
  <w15:docId w15:val="{0BD2D466-3B6F-4709-851B-6E0AE687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75" w:after="300"/>
      <w:outlineLvl w:val="0"/>
    </w:pPr>
    <w:rPr>
      <w:b/>
      <w:bCs/>
      <w:color w:val="0096A6"/>
      <w:sz w:val="40"/>
      <w:szCs w:val="40"/>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0096A6"/>
      <w:sz w:val="30"/>
      <w:szCs w:val="30"/>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wesammohammed897@hotmail.com</cp:lastModifiedBy>
  <cp:revision>2</cp:revision>
  <dcterms:created xsi:type="dcterms:W3CDTF">2026-09-12T16:29:00Z</dcterms:created>
  <dcterms:modified xsi:type="dcterms:W3CDTF">2026-09-12T16:31:00Z</dcterms:modified>
</cp:coreProperties>
</file>