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DF9E8" w14:textId="6A418D39" w:rsidR="002B0D56" w:rsidRDefault="00957259" w:rsidP="00957259">
      <w:pPr>
        <w:pBdr>
          <w:top w:val="nil"/>
          <w:left w:val="nil"/>
          <w:bottom w:val="nil"/>
          <w:right w:val="nil"/>
          <w:between w:val="nil"/>
        </w:pBdr>
        <w:bidi/>
        <w:spacing w:before="525" w:after="750"/>
        <w:ind w:right="450"/>
        <w:rPr>
          <w:rFonts w:hint="cs"/>
          <w:color w:val="000000"/>
          <w:rtl/>
          <w:lang w:bidi="ar-YE"/>
        </w:rPr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18AFBB64" wp14:editId="1DC2EB58">
            <wp:simplePos x="0" y="0"/>
            <wp:positionH relativeFrom="margin">
              <wp:posOffset>-593725</wp:posOffset>
            </wp:positionH>
            <wp:positionV relativeFrom="margin">
              <wp:posOffset>-558742</wp:posOffset>
            </wp:positionV>
            <wp:extent cx="1798320" cy="981710"/>
            <wp:effectExtent l="0" t="0" r="0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091118" w14:textId="77777777" w:rsidR="002B0D56" w:rsidRDefault="00957259">
      <w:pPr>
        <w:pBdr>
          <w:top w:val="nil"/>
          <w:left w:val="nil"/>
          <w:bottom w:val="nil"/>
          <w:right w:val="nil"/>
          <w:between w:val="nil"/>
        </w:pBdr>
        <w:bidi/>
        <w:spacing w:before="150" w:after="375"/>
        <w:ind w:left="450" w:right="450"/>
        <w:jc w:val="center"/>
        <w:rPr>
          <w:rFonts w:hint="cs"/>
          <w:b/>
          <w:bCs/>
          <w:color w:val="0096A6"/>
          <w:sz w:val="36"/>
          <w:szCs w:val="36"/>
          <w:highlight w:val="white"/>
          <w:rtl/>
        </w:rPr>
      </w:pPr>
      <w:r>
        <w:rPr>
          <w:b/>
          <w:bCs/>
          <w:color w:val="0096A6"/>
          <w:sz w:val="36"/>
          <w:szCs w:val="36"/>
          <w:highlight w:val="white"/>
          <w:rtl/>
        </w:rPr>
        <w:t xml:space="preserve">بنك الآفاق الرقمية | </w:t>
      </w:r>
      <w:r>
        <w:rPr>
          <w:b/>
          <w:bCs/>
          <w:color w:val="0096A6"/>
          <w:sz w:val="36"/>
          <w:szCs w:val="36"/>
          <w:highlight w:val="white"/>
        </w:rPr>
        <w:t>DIGITAL HORIZONS BANK</w:t>
      </w:r>
    </w:p>
    <w:p w14:paraId="6BE1C16C" w14:textId="77777777" w:rsidR="002B0D56" w:rsidRDefault="00957259">
      <w:pPr>
        <w:pStyle w:val="1"/>
        <w:bidi/>
        <w:spacing w:before="0" w:after="225"/>
        <w:ind w:left="300" w:right="300"/>
        <w:jc w:val="center"/>
        <w:rPr>
          <w:color w:val="FFFFFF"/>
          <w:sz w:val="44"/>
          <w:szCs w:val="44"/>
          <w:shd w:val="clear" w:color="auto" w:fill="0096A6"/>
        </w:rPr>
      </w:pPr>
      <w:r>
        <w:rPr>
          <w:color w:val="FFFFFF"/>
          <w:sz w:val="44"/>
          <w:szCs w:val="44"/>
          <w:shd w:val="clear" w:color="auto" w:fill="0096A6"/>
          <w:rtl/>
        </w:rPr>
        <w:t>إجراءات التشغيل الأمنية (</w:t>
      </w:r>
      <w:r>
        <w:rPr>
          <w:color w:val="FFFFFF"/>
          <w:sz w:val="44"/>
          <w:szCs w:val="44"/>
          <w:shd w:val="clear" w:color="auto" w:fill="0096A6"/>
        </w:rPr>
        <w:t>SOP</w:t>
      </w:r>
      <w:r>
        <w:rPr>
          <w:color w:val="FFFFFF"/>
          <w:sz w:val="44"/>
          <w:szCs w:val="44"/>
          <w:shd w:val="clear" w:color="auto" w:fill="0096A6"/>
          <w:rtl/>
        </w:rPr>
        <w:t>)</w:t>
      </w:r>
    </w:p>
    <w:p w14:paraId="4EC6483D" w14:textId="77777777" w:rsidR="002B0D56" w:rsidRDefault="00957259">
      <w:pPr>
        <w:pBdr>
          <w:top w:val="nil"/>
          <w:left w:val="nil"/>
          <w:bottom w:val="nil"/>
          <w:right w:val="nil"/>
          <w:between w:val="nil"/>
        </w:pBdr>
        <w:bidi/>
        <w:ind w:left="300" w:right="300"/>
        <w:jc w:val="center"/>
        <w:rPr>
          <w:b/>
          <w:bCs/>
          <w:color w:val="FFFFFF"/>
          <w:sz w:val="28"/>
          <w:szCs w:val="28"/>
          <w:shd w:val="clear" w:color="auto" w:fill="0096A6"/>
        </w:rPr>
      </w:pPr>
      <w:r>
        <w:pict w14:anchorId="15E9C099">
          <v:rect id="_x0000_i1025" style="width:0;height:1.5pt" o:hralign="center" o:hrstd="t" o:hr="t" fillcolor="#a0a0a0" stroked="f"/>
        </w:pict>
      </w:r>
      <w:r>
        <w:rPr>
          <w:b/>
          <w:bCs/>
          <w:color w:val="FFFFFF"/>
          <w:sz w:val="28"/>
          <w:szCs w:val="28"/>
          <w:shd w:val="clear" w:color="auto" w:fill="0096A6"/>
          <w:rtl/>
        </w:rPr>
        <w:t>إجراء إدارة وتحديث جدران الحماية وإعادة إعداد التغييرات الحرج</w:t>
      </w:r>
    </w:p>
    <w:p w14:paraId="27CE3DAE" w14:textId="77777777" w:rsidR="002B0D56" w:rsidRDefault="00957259">
      <w:pPr>
        <w:pBdr>
          <w:top w:val="nil"/>
          <w:left w:val="nil"/>
          <w:bottom w:val="nil"/>
          <w:right w:val="nil"/>
          <w:between w:val="nil"/>
        </w:pBdr>
        <w:bidi/>
        <w:ind w:left="300" w:right="300"/>
        <w:jc w:val="center"/>
        <w:rPr>
          <w:color w:val="FFFFFF"/>
          <w:sz w:val="20"/>
          <w:szCs w:val="20"/>
          <w:shd w:val="clear" w:color="auto" w:fill="0096A6"/>
        </w:rPr>
      </w:pPr>
      <w:r>
        <w:rPr>
          <w:color w:val="FFFFFF"/>
          <w:sz w:val="20"/>
          <w:szCs w:val="20"/>
          <w:shd w:val="clear" w:color="auto" w:fill="0096A6"/>
        </w:rPr>
        <w:t>ISO/IEC 27001:2022 ISMS Documentation — Control A.5.37 &amp; A.8.32</w:t>
      </w:r>
    </w:p>
    <w:p w14:paraId="41A91853" w14:textId="4E957E56" w:rsidR="002B0D56" w:rsidRDefault="002B0D56" w:rsidP="00F8498B">
      <w:pPr>
        <w:pBdr>
          <w:top w:val="nil"/>
          <w:left w:val="nil"/>
          <w:bottom w:val="nil"/>
          <w:right w:val="nil"/>
          <w:between w:val="nil"/>
        </w:pBdr>
        <w:bidi/>
        <w:spacing w:before="180" w:after="405"/>
        <w:ind w:right="225"/>
        <w:rPr>
          <w:rFonts w:hint="cs"/>
          <w:shd w:val="clear" w:color="auto" w:fill="E0F2F1"/>
        </w:rPr>
      </w:pPr>
    </w:p>
    <w:tbl>
      <w:tblPr>
        <w:tblStyle w:val="a5"/>
        <w:bidiVisual/>
        <w:tblW w:w="9360" w:type="dxa"/>
        <w:tblInd w:w="0" w:type="dxa"/>
        <w:tblBorders>
          <w:top w:val="single" w:sz="6" w:space="0" w:color="0096A6"/>
          <w:left w:val="single" w:sz="6" w:space="0" w:color="0096A6"/>
          <w:bottom w:val="single" w:sz="6" w:space="0" w:color="0096A6"/>
          <w:right w:val="single" w:sz="6" w:space="0" w:color="0096A6"/>
          <w:insideH w:val="single" w:sz="6" w:space="0" w:color="0096A6"/>
          <w:insideV w:val="single" w:sz="6" w:space="0" w:color="0096A6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2B0D56" w14:paraId="4D57B970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6F9AD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اس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م الإجراء (</w:t>
            </w:r>
            <w:r>
              <w:rPr>
                <w:b/>
                <w:bCs/>
                <w:color w:val="FFFFFF"/>
                <w:sz w:val="18"/>
                <w:szCs w:val="18"/>
              </w:rPr>
              <w:t>Procedure Name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52D4C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إجراء إدارة وتحديث جدران الحماية والتغييرات الحرجة (</w:t>
            </w:r>
            <w:r>
              <w:rPr>
                <w:sz w:val="18"/>
                <w:szCs w:val="18"/>
              </w:rPr>
              <w:t>Firewall Management &amp; Critical Change SOP</w:t>
            </w:r>
            <w:r>
              <w:rPr>
                <w:sz w:val="18"/>
                <w:szCs w:val="18"/>
                <w:rtl/>
              </w:rPr>
              <w:t>)</w:t>
            </w:r>
          </w:p>
        </w:tc>
      </w:tr>
      <w:tr w:rsidR="002B0D56" w14:paraId="0BF92653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1EF34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رمز الإجراء (</w:t>
            </w:r>
            <w:r>
              <w:rPr>
                <w:b/>
                <w:bCs/>
                <w:color w:val="FFFFFF"/>
                <w:sz w:val="18"/>
                <w:szCs w:val="18"/>
              </w:rPr>
              <w:t>Document Ref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27ED9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DHB-SOP-IT-008</w:t>
            </w:r>
          </w:p>
        </w:tc>
      </w:tr>
      <w:tr w:rsidR="002B0D56" w14:paraId="4904377F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3FE94F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التصنيف (</w:t>
            </w:r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66D84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سري (</w:t>
            </w:r>
            <w:r>
              <w:rPr>
                <w:sz w:val="18"/>
                <w:szCs w:val="18"/>
              </w:rPr>
              <w:t>Confidential</w:t>
            </w:r>
            <w:r>
              <w:rPr>
                <w:sz w:val="18"/>
                <w:szCs w:val="18"/>
                <w:rtl/>
              </w:rPr>
              <w:t>) — يُقتصر الوصول لأصحاب الحاجة الفعلية</w:t>
            </w:r>
          </w:p>
        </w:tc>
      </w:tr>
      <w:tr w:rsidR="002B0D56" w14:paraId="796430A4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1D51C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الإصدار (</w:t>
            </w: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96213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</w:tr>
      <w:tr w:rsidR="002B0D56" w14:paraId="64EA8F24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AF732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تاريخ آخر تحديث (</w:t>
            </w:r>
            <w:r>
              <w:rPr>
                <w:b/>
                <w:bCs/>
                <w:color w:val="FFFFFF"/>
                <w:sz w:val="18"/>
                <w:szCs w:val="18"/>
              </w:rPr>
              <w:t>Date Last Updated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9F722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12 سبتمبر 2026</w:t>
            </w:r>
          </w:p>
        </w:tc>
      </w:tr>
      <w:tr w:rsidR="002B0D56" w14:paraId="06EA4440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25656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مالك الوثيقة (</w:t>
            </w: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6D731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مدير قسم البنية التحتية والشبكات — قطاع التقنية والعمليات</w:t>
            </w:r>
          </w:p>
        </w:tc>
      </w:tr>
      <w:tr w:rsidR="002B0D56" w14:paraId="6E69C417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90FBC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الجهة المعتمِدة (</w:t>
            </w:r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D79E2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مدير تقنية المعلومات (</w:t>
            </w:r>
            <w:r>
              <w:rPr>
                <w:sz w:val="18"/>
                <w:szCs w:val="18"/>
              </w:rPr>
              <w:t>CIO</w:t>
            </w:r>
            <w:r>
              <w:rPr>
                <w:sz w:val="18"/>
                <w:szCs w:val="18"/>
                <w:rtl/>
              </w:rPr>
              <w:t>) ومدير أمن المعلومات (</w:t>
            </w:r>
            <w:r>
              <w:rPr>
                <w:sz w:val="18"/>
                <w:szCs w:val="18"/>
              </w:rPr>
              <w:t>CISO</w:t>
            </w:r>
            <w:r>
              <w:rPr>
                <w:sz w:val="18"/>
                <w:szCs w:val="18"/>
                <w:rtl/>
              </w:rPr>
              <w:t>)</w:t>
            </w:r>
          </w:p>
        </w:tc>
      </w:tr>
      <w:tr w:rsidR="002B0D56" w14:paraId="5F1C92D5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4A342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دوريات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المراجعة (</w:t>
            </w:r>
            <w:r>
              <w:rPr>
                <w:b/>
                <w:bCs/>
                <w:color w:val="FFFFFF"/>
                <w:sz w:val="18"/>
                <w:szCs w:val="18"/>
              </w:rPr>
              <w:t>Review Frequency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81362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سنوياً (</w:t>
            </w:r>
            <w:r>
              <w:rPr>
                <w:sz w:val="18"/>
                <w:szCs w:val="18"/>
              </w:rPr>
              <w:t>Annually</w:t>
            </w:r>
            <w:r>
              <w:rPr>
                <w:sz w:val="18"/>
                <w:szCs w:val="18"/>
                <w:rtl/>
              </w:rPr>
              <w:t>) أو بعد كل حادثة تغيير أمنية</w:t>
            </w:r>
          </w:p>
        </w:tc>
      </w:tr>
      <w:tr w:rsidR="002B0D56" w14:paraId="4C8A82E0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9D55C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تاريخ المراجعة القادمة (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Next </w:t>
            </w: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Review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B1E69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12 سبتمبر 2027</w:t>
            </w:r>
          </w:p>
        </w:tc>
      </w:tr>
      <w:tr w:rsidR="002B0D56" w14:paraId="35DF5A41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BB851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ملاحظات (</w:t>
            </w:r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AFFAD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تمت صياغة الإجراء لمعالجة السبب الجذر لحادثة انقطاع الخدمة المصرفية ومنع التعديل الأحادي لقواعد الشبكة.</w:t>
            </w:r>
          </w:p>
        </w:tc>
      </w:tr>
    </w:tbl>
    <w:p w14:paraId="54963140" w14:textId="77777777" w:rsidR="002B0D56" w:rsidRDefault="00957259">
      <w:pPr>
        <w:pStyle w:val="1"/>
        <w:bidi/>
      </w:pPr>
      <w:r>
        <w:rPr>
          <w:rtl/>
        </w:rPr>
        <w:t>1. الغرض (</w:t>
      </w:r>
      <w:r>
        <w:t>Purpose</w:t>
      </w:r>
      <w:r>
        <w:rPr>
          <w:rtl/>
        </w:rPr>
        <w:t>)</w:t>
      </w:r>
    </w:p>
    <w:p w14:paraId="20EC4296" w14:textId="77777777" w:rsidR="002B0D56" w:rsidRDefault="00957259">
      <w:pPr>
        <w:pBdr>
          <w:top w:val="nil"/>
          <w:left w:val="nil"/>
          <w:bottom w:val="nil"/>
          <w:right w:val="nil"/>
          <w:between w:val="nil"/>
        </w:pBdr>
        <w:bidi/>
        <w:spacing w:after="375"/>
      </w:pPr>
      <w:r>
        <w:pict w14:anchorId="438E5AFD">
          <v:rect id="_x0000_i1026" style="width:0;height:1.5pt" o:hralign="center" o:hrstd="t" o:hr="t" fillcolor="#a0a0a0" stroked="f"/>
        </w:pict>
      </w:r>
      <w:r>
        <w:rPr>
          <w:rtl/>
        </w:rPr>
        <w:t>يهدف هذا الإجراء التشغيلي الأمني (</w:t>
      </w:r>
      <w:r>
        <w:t>SOP</w:t>
      </w:r>
      <w:r>
        <w:rPr>
          <w:rtl/>
        </w:rPr>
        <w:t>) إلى تحديد الخطوات والقواعد الأمنية الإلزامية لإدارة وتعديل وتحديث إعدادات جدران الحماية الرئيسية (</w:t>
      </w:r>
      <w:r>
        <w:t>Palo Alto Networks</w:t>
      </w:r>
      <w:r>
        <w:rPr>
          <w:rtl/>
        </w:rPr>
        <w:t xml:space="preserve">) وأجهزة الشبكة والتشفير بمركز البيانات الرئيسي بالرياض ومركز التعافي بجدة </w:t>
      </w:r>
      <w:r>
        <w:rPr>
          <w:rtl/>
        </w:rPr>
        <w:t>لبنك الآفاق الرقمية [</w:t>
      </w:r>
      <w:r>
        <w:t>cite</w:t>
      </w:r>
      <w:r>
        <w:rPr>
          <w:rtl/>
        </w:rPr>
        <w:t>: 2, 15]. يضمن هذا الإجراء القضاء على المخاطر الناتجة عن الأخطاء البشرية والتعديلات الفردية غير المراجعة، ويمنع تكرار انقطاع الخدمات المصرفية الرقمية (آفاق بلس وآفاق نت) [</w:t>
      </w:r>
      <w:r>
        <w:t>cite</w:t>
      </w:r>
      <w:r>
        <w:rPr>
          <w:rtl/>
        </w:rPr>
        <w:t>: 2, 15].</w:t>
      </w:r>
    </w:p>
    <w:p w14:paraId="22C34245" w14:textId="77777777" w:rsidR="002B0D56" w:rsidRDefault="00957259">
      <w:pPr>
        <w:pStyle w:val="1"/>
        <w:bidi/>
        <w:spacing w:before="0"/>
      </w:pPr>
      <w:r>
        <w:rPr>
          <w:rtl/>
        </w:rPr>
        <w:t>2. النطاق (</w:t>
      </w:r>
      <w:r>
        <w:t>Scope</w:t>
      </w:r>
      <w:r>
        <w:rPr>
          <w:rtl/>
        </w:rPr>
        <w:t>)</w:t>
      </w:r>
    </w:p>
    <w:p w14:paraId="37D2195F" w14:textId="77777777" w:rsidR="002B0D56" w:rsidRDefault="00957259">
      <w:pPr>
        <w:pBdr>
          <w:top w:val="nil"/>
          <w:left w:val="nil"/>
          <w:bottom w:val="nil"/>
          <w:right w:val="nil"/>
          <w:between w:val="nil"/>
        </w:pBdr>
        <w:bidi/>
        <w:spacing w:after="375"/>
      </w:pPr>
      <w:r>
        <w:pict w14:anchorId="47457899">
          <v:rect id="_x0000_i1027" style="width:0;height:1.5pt" o:hralign="center" o:hrstd="t" o:hr="t" fillcolor="#a0a0a0" stroked="f"/>
        </w:pict>
      </w:r>
      <w:r>
        <w:rPr>
          <w:rtl/>
        </w:rPr>
        <w:t>يطبق هذا الإجراء على جميع م</w:t>
      </w:r>
      <w:r>
        <w:rPr>
          <w:rtl/>
        </w:rPr>
        <w:t>هندسي الشبكات، مسؤولي الأنظمة، أخصائيي مركز العمليات الأمنية (</w:t>
      </w:r>
      <w:r>
        <w:t>SOC</w:t>
      </w:r>
      <w:r>
        <w:rPr>
          <w:rtl/>
        </w:rPr>
        <w:t>)، والمتعاقدين الخارجيين المعنيين بإدارة أو تعديل إعدادات جدران الحماية (</w:t>
      </w:r>
      <w:r>
        <w:t>Palo Alto</w:t>
      </w:r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r>
        <w:t>Fortinet</w:t>
      </w:r>
      <w:proofErr w:type="gramEnd"/>
      <w:r>
        <w:t xml:space="preserve"> WAF</w:t>
      </w:r>
      <w:r>
        <w:rPr>
          <w:rtl/>
        </w:rPr>
        <w:t>)، أجهزة التوجيه (</w:t>
      </w:r>
      <w:r>
        <w:t>Cisco ASR</w:t>
      </w:r>
      <w:r>
        <w:rPr>
          <w:rtl/>
        </w:rPr>
        <w:t>)، والمبدلات الشبكية في المقر الرئيسي، ومركز البيانات، ومركز التعاف</w:t>
      </w:r>
      <w:r>
        <w:rPr>
          <w:rtl/>
        </w:rPr>
        <w:t>ي من الكوارث بجدة، وجميع الفروع الـ 25 ل بنك الآفاق الرقمية [</w:t>
      </w:r>
      <w:r>
        <w:t>cite</w:t>
      </w:r>
      <w:r>
        <w:rPr>
          <w:rtl/>
        </w:rPr>
        <w:t>: 2, 15].</w:t>
      </w:r>
    </w:p>
    <w:p w14:paraId="12243638" w14:textId="77777777" w:rsidR="002B0D56" w:rsidRDefault="00957259">
      <w:pPr>
        <w:pStyle w:val="1"/>
        <w:bidi/>
        <w:spacing w:before="0"/>
      </w:pPr>
      <w:r>
        <w:rPr>
          <w:rtl/>
        </w:rPr>
        <w:t>3. الأدوار والمسؤوليات (</w:t>
      </w:r>
      <w:r>
        <w:t>Roles and Responsibilities</w:t>
      </w:r>
      <w:r>
        <w:rPr>
          <w:rtl/>
        </w:rPr>
        <w:t>)</w:t>
      </w:r>
    </w:p>
    <w:p w14:paraId="1240BA9E" w14:textId="77777777" w:rsidR="002B0D56" w:rsidRDefault="0095725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4F305382">
          <v:rect id="_x0000_i1028" style="width:0;height:1.5pt" o:hralign="center" o:hrstd="t" o:hr="t" fillcolor="#a0a0a0" stroked="f"/>
        </w:pict>
      </w:r>
    </w:p>
    <w:tbl>
      <w:tblPr>
        <w:tblStyle w:val="a6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B0D56" w14:paraId="0BC614C3" w14:textId="77777777">
        <w:trPr>
          <w:tblHeader/>
        </w:trPr>
        <w:tc>
          <w:tcPr>
            <w:tcW w:w="468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4402AF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الدور / المسمى الوظيفي</w:t>
            </w:r>
          </w:p>
        </w:tc>
        <w:tc>
          <w:tcPr>
            <w:tcW w:w="468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27D1C2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المسؤوليات التشغيلية والأمنية المحدد</w:t>
            </w:r>
          </w:p>
          <w:p w14:paraId="46A6E5AE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2B0D56" w14:paraId="204620B7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173A6E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مهندس الشبكات (</w:t>
            </w:r>
            <w:r>
              <w:rPr>
                <w:b/>
                <w:bCs/>
                <w:sz w:val="18"/>
                <w:szCs w:val="18"/>
              </w:rPr>
              <w:t>Network Engineer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2973A4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إعداد وثيقة طلب التغيير (</w:t>
            </w:r>
            <w:r>
              <w:rPr>
                <w:sz w:val="18"/>
                <w:szCs w:val="18"/>
              </w:rPr>
              <w:t>CR</w:t>
            </w:r>
            <w:r>
              <w:rPr>
                <w:sz w:val="18"/>
                <w:szCs w:val="18"/>
                <w:rtl/>
              </w:rPr>
              <w:t>)، تحديد القواعد المراد تعديلها، أخذ نسخة احتياطية إجبارية من الإعدادات قبل التعديل، وتنفيذ التعديل الفني بعد الاعتماد [</w:t>
            </w:r>
            <w:r>
              <w:rPr>
                <w:sz w:val="18"/>
                <w:szCs w:val="18"/>
              </w:rPr>
              <w:t>cite</w:t>
            </w:r>
            <w:r>
              <w:rPr>
                <w:sz w:val="18"/>
                <w:szCs w:val="18"/>
                <w:rtl/>
              </w:rPr>
              <w:t>: 2, 15].</w:t>
            </w:r>
          </w:p>
        </w:tc>
      </w:tr>
      <w:tr w:rsidR="002B0D56" w14:paraId="254A745D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61C08E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مهندس المراجعة الثنائية (</w:t>
            </w:r>
            <w:r>
              <w:rPr>
                <w:b/>
                <w:bCs/>
                <w:sz w:val="18"/>
                <w:szCs w:val="18"/>
              </w:rPr>
              <w:t>Peer Reviewer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4EAA4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مراجعة التغيير المطلوب فنياً والتحقق من القواعد وعدم تأثيرها على الخدمات </w:t>
            </w:r>
            <w:r>
              <w:rPr>
                <w:sz w:val="18"/>
                <w:szCs w:val="18"/>
                <w:rtl/>
              </w:rPr>
              <w:t>المصرفية الحية أو حظر الترافيك المعتمد قبل التنسيق للتنفيذ [</w:t>
            </w:r>
            <w:r>
              <w:rPr>
                <w:sz w:val="18"/>
                <w:szCs w:val="18"/>
              </w:rPr>
              <w:t>cite</w:t>
            </w:r>
            <w:r>
              <w:rPr>
                <w:sz w:val="18"/>
                <w:szCs w:val="18"/>
                <w:rtl/>
              </w:rPr>
              <w:t>: 2, 15].</w:t>
            </w:r>
          </w:p>
        </w:tc>
      </w:tr>
      <w:tr w:rsidR="002B0D56" w14:paraId="6A8AAE12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5EE502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lastRenderedPageBreak/>
              <w:t>مدير قسم البنية التحتية والشبكات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453AC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تقييم الأثر التشغيلي، الموافقة الإدارية على طلب التغيير عبر نظام (</w:t>
            </w:r>
            <w:r>
              <w:rPr>
                <w:sz w:val="18"/>
                <w:szCs w:val="18"/>
              </w:rPr>
              <w:t>Jira Service Management</w:t>
            </w:r>
            <w:r>
              <w:rPr>
                <w:sz w:val="18"/>
                <w:szCs w:val="18"/>
                <w:rtl/>
              </w:rPr>
              <w:t>)، وجدولة نافذة التنفيذ [</w:t>
            </w:r>
            <w:r>
              <w:rPr>
                <w:sz w:val="18"/>
                <w:szCs w:val="18"/>
              </w:rPr>
              <w:t>cite</w:t>
            </w:r>
            <w:r>
              <w:rPr>
                <w:sz w:val="18"/>
                <w:szCs w:val="18"/>
                <w:rtl/>
              </w:rPr>
              <w:t>: 2, 15].</w:t>
            </w:r>
          </w:p>
        </w:tc>
      </w:tr>
      <w:tr w:rsidR="002B0D56" w14:paraId="2C8F63E4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44D868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 xml:space="preserve">محلل </w:t>
            </w:r>
            <w:r>
              <w:rPr>
                <w:b/>
                <w:bCs/>
                <w:sz w:val="18"/>
                <w:szCs w:val="18"/>
                <w:rtl/>
              </w:rPr>
              <w:t>العمليات الأمنية (</w:t>
            </w:r>
            <w:r>
              <w:rPr>
                <w:b/>
                <w:bCs/>
                <w:sz w:val="18"/>
                <w:szCs w:val="18"/>
              </w:rPr>
              <w:t>SOC Analyst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2EEEE4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مراقبة التدفق السجلي والتنبيهات فور تنفيذ التغيير، والتحقق من عدم وجود أنشطة غير طبيعية أو حظر غير مصرح به [</w:t>
            </w:r>
            <w:r>
              <w:rPr>
                <w:sz w:val="18"/>
                <w:szCs w:val="18"/>
              </w:rPr>
              <w:t>cite</w:t>
            </w:r>
            <w:r>
              <w:rPr>
                <w:sz w:val="18"/>
                <w:szCs w:val="18"/>
                <w:rtl/>
              </w:rPr>
              <w:t>: 2, 15].</w:t>
            </w:r>
          </w:p>
        </w:tc>
      </w:tr>
      <w:tr w:rsidR="002B0D56" w14:paraId="0121FB4E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7EB1C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مدير أمن المعلومات (</w:t>
            </w:r>
            <w:r>
              <w:rPr>
                <w:b/>
                <w:bCs/>
                <w:sz w:val="18"/>
                <w:szCs w:val="18"/>
              </w:rPr>
              <w:t>CISO</w:t>
            </w:r>
            <w:r>
              <w:rPr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035D60" w14:textId="77777777" w:rsidR="002B0D56" w:rsidRDefault="00957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الموافقة الأمنية الإلزامية على التغييرات العالية والحرجة ومراجعة سجلات التغي</w:t>
            </w:r>
            <w:r>
              <w:rPr>
                <w:sz w:val="18"/>
                <w:szCs w:val="18"/>
                <w:rtl/>
              </w:rPr>
              <w:t>ير بشكل دوري [</w:t>
            </w:r>
            <w:r>
              <w:rPr>
                <w:sz w:val="18"/>
                <w:szCs w:val="18"/>
              </w:rPr>
              <w:t>cite</w:t>
            </w:r>
            <w:r>
              <w:rPr>
                <w:sz w:val="18"/>
                <w:szCs w:val="18"/>
                <w:rtl/>
              </w:rPr>
              <w:t>: 2, 15].</w:t>
            </w:r>
          </w:p>
        </w:tc>
      </w:tr>
    </w:tbl>
    <w:p w14:paraId="0FB28122" w14:textId="77777777" w:rsidR="002B0D56" w:rsidRDefault="00957259">
      <w:pPr>
        <w:pStyle w:val="1"/>
        <w:bidi/>
        <w:spacing w:after="315"/>
      </w:pPr>
      <w:r>
        <w:rPr>
          <w:rtl/>
        </w:rPr>
        <w:t>4. الإجراء خطوات التنفيذ (</w:t>
      </w:r>
      <w:r>
        <w:t>Procedure Steps</w:t>
      </w:r>
      <w:r>
        <w:rPr>
          <w:rtl/>
        </w:rPr>
        <w:t>)</w:t>
      </w:r>
    </w:p>
    <w:p w14:paraId="4E10A5C2" w14:textId="77777777" w:rsidR="002B0D56" w:rsidRDefault="00957259">
      <w:pPr>
        <w:pStyle w:val="3"/>
        <w:bidi/>
        <w:spacing w:before="0"/>
      </w:pPr>
      <w:r>
        <w:pict w14:anchorId="0C007879">
          <v:rect id="_x0000_i1029" style="width:0;height:1.5pt" o:hralign="center" o:hrstd="t" o:hr="t" fillcolor="#a0a0a0" stroked="f"/>
        </w:pict>
      </w:r>
      <w:r>
        <w:rPr>
          <w:rtl/>
        </w:rPr>
        <w:t>الخطوة 1: طلب التغيير والتوثيق (</w:t>
      </w:r>
      <w:r>
        <w:t>Change Request &amp; Documentation</w:t>
      </w:r>
      <w:r>
        <w:rPr>
          <w:rtl/>
        </w:rPr>
        <w:t>)</w:t>
      </w:r>
    </w:p>
    <w:p w14:paraId="6FB3CF7D" w14:textId="77777777" w:rsidR="002B0D56" w:rsidRDefault="009572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إنشاء تذكرة تغيير رسمية عبر نظام </w:t>
      </w:r>
      <w:r>
        <w:t>Jira Service Management</w:t>
      </w:r>
      <w:r>
        <w:rPr>
          <w:rtl/>
        </w:rPr>
        <w:t xml:space="preserve"> تُحدد أسباب التعديل، القواعد المحدثة، الأنظمة المتأثرة، </w:t>
      </w:r>
      <w:r>
        <w:rPr>
          <w:rtl/>
        </w:rPr>
        <w:t>ونافذة التنفيذ المعتمدة [</w:t>
      </w:r>
      <w:r>
        <w:t>cite</w:t>
      </w:r>
      <w:r>
        <w:rPr>
          <w:rtl/>
        </w:rPr>
        <w:t>: 2, 15].</w:t>
      </w:r>
    </w:p>
    <w:p w14:paraId="602BE5FE" w14:textId="77777777" w:rsidR="002B0D56" w:rsidRDefault="009572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تطوير خطة تراجع سريعة (</w:t>
      </w:r>
      <w:r>
        <w:t>Rollback Plan</w:t>
      </w:r>
      <w:r>
        <w:rPr>
          <w:rtl/>
        </w:rPr>
        <w:t>) موثقة تسمح بإعادة الإعدادات السابقة خلال أقل من 15 دقيقة في حال حدوث خلل [</w:t>
      </w:r>
      <w:r>
        <w:t>cite</w:t>
      </w:r>
      <w:r>
        <w:rPr>
          <w:rtl/>
        </w:rPr>
        <w:t>: 2, 15].</w:t>
      </w:r>
    </w:p>
    <w:p w14:paraId="0F233D95" w14:textId="77777777" w:rsidR="002B0D56" w:rsidRDefault="00957259">
      <w:pPr>
        <w:pStyle w:val="3"/>
        <w:bidi/>
      </w:pPr>
      <w:r>
        <w:rPr>
          <w:rtl/>
        </w:rPr>
        <w:t>الخطوة 2: المراجعة الثنائية والاعتماد (</w:t>
      </w:r>
      <w:r>
        <w:t>Dual-Control &amp; Peer Review</w:t>
      </w:r>
      <w:r>
        <w:rPr>
          <w:rtl/>
        </w:rPr>
        <w:t>)</w:t>
      </w:r>
    </w:p>
    <w:p w14:paraId="55FE3DB7" w14:textId="77777777" w:rsidR="002B0D56" w:rsidRDefault="009572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تطبيق مبدأ </w:t>
      </w:r>
      <w:r>
        <w:rPr>
          <w:rtl/>
        </w:rPr>
        <w:t>السيطرة المزدوجة (</w:t>
      </w:r>
      <w:r>
        <w:t>Dual-Control</w:t>
      </w:r>
      <w:r>
        <w:rPr>
          <w:rtl/>
        </w:rPr>
        <w:t>) بحيث يقوم مهندس شبكات ثانٍ بمراجعة قواعد جدار الحماية والتثبت من عدم حذف أو تعديل القواعد المعتمدة لخوادم التطبيقات [</w:t>
      </w:r>
      <w:r>
        <w:t>cite</w:t>
      </w:r>
      <w:r>
        <w:rPr>
          <w:rtl/>
        </w:rPr>
        <w:t>: 2, 15].</w:t>
      </w:r>
    </w:p>
    <w:p w14:paraId="1592855A" w14:textId="77777777" w:rsidR="002B0D56" w:rsidRDefault="009572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الحصول على اعتماد مدير البنية التحتية وموافقة فريق أمن المعلومات (</w:t>
      </w:r>
      <w:r>
        <w:t>SOC/CISO</w:t>
      </w:r>
      <w:r>
        <w:rPr>
          <w:rtl/>
        </w:rPr>
        <w:t>) قبل التنفيذ [</w:t>
      </w:r>
      <w:r>
        <w:t>cite</w:t>
      </w:r>
      <w:r>
        <w:rPr>
          <w:rtl/>
        </w:rPr>
        <w:t>: 2, 15].</w:t>
      </w:r>
    </w:p>
    <w:p w14:paraId="31128871" w14:textId="77777777" w:rsidR="002B0D56" w:rsidRDefault="00957259">
      <w:pPr>
        <w:pStyle w:val="3"/>
        <w:bidi/>
      </w:pPr>
      <w:r>
        <w:rPr>
          <w:rtl/>
        </w:rPr>
        <w:t>الخطوة 3: أخذ النسخة الاحتياطية قبل التنفيذ (</w:t>
      </w:r>
      <w:r>
        <w:t>Pre-Implementation Backup</w:t>
      </w:r>
      <w:r>
        <w:rPr>
          <w:rtl/>
        </w:rPr>
        <w:t>)</w:t>
      </w:r>
    </w:p>
    <w:p w14:paraId="2F091A1D" w14:textId="77777777" w:rsidR="002B0D56" w:rsidRDefault="009572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أخذ نسخة احتياطية فورية وتلقائية (</w:t>
      </w:r>
      <w:r>
        <w:t>Config File Backup</w:t>
      </w:r>
      <w:r>
        <w:rPr>
          <w:rtl/>
        </w:rPr>
        <w:t>) من ملف إعدادات جدار الحماية المستهدف وحفظه في خادم النسخ الاحتياطي المأمون [</w:t>
      </w:r>
      <w:r>
        <w:t>cite</w:t>
      </w:r>
      <w:r>
        <w:rPr>
          <w:rtl/>
        </w:rPr>
        <w:t>: 2, 15].</w:t>
      </w:r>
    </w:p>
    <w:p w14:paraId="0B3B93D2" w14:textId="77777777" w:rsidR="002B0D56" w:rsidRDefault="00957259">
      <w:pPr>
        <w:pStyle w:val="3"/>
        <w:bidi/>
      </w:pPr>
      <w:r>
        <w:rPr>
          <w:rtl/>
        </w:rPr>
        <w:t xml:space="preserve">الخطوة 4: التنفيذ </w:t>
      </w:r>
      <w:r>
        <w:rPr>
          <w:rtl/>
        </w:rPr>
        <w:t>والمراقبة الحية (</w:t>
      </w:r>
      <w:r>
        <w:t>Execution &amp; Real-Time Monitoring</w:t>
      </w:r>
      <w:r>
        <w:rPr>
          <w:rtl/>
        </w:rPr>
        <w:t>)</w:t>
      </w:r>
    </w:p>
    <w:p w14:paraId="07A28522" w14:textId="77777777" w:rsidR="002B0D56" w:rsidRDefault="009572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تنفيذ التغيير خلال النافذة المعتمدة فقط، بالتزامن مع وجود محلل </w:t>
      </w:r>
      <w:r>
        <w:t>SOC</w:t>
      </w:r>
      <w:r>
        <w:rPr>
          <w:rtl/>
        </w:rPr>
        <w:t xml:space="preserve"> لمراقبة حركة البيانات والسجلات [</w:t>
      </w:r>
      <w:r>
        <w:t>cite</w:t>
      </w:r>
      <w:r>
        <w:rPr>
          <w:rtl/>
        </w:rPr>
        <w:t>: 2, 15].</w:t>
      </w:r>
    </w:p>
    <w:p w14:paraId="00DA126B" w14:textId="77777777" w:rsidR="002B0D56" w:rsidRDefault="009572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إجراء اختبارات اتصال فورية على تطبيق "آفاق بلس" و"آفاق نت" للتأكد من وصول المعاملات المصرفية</w:t>
      </w:r>
      <w:r>
        <w:rPr>
          <w:rtl/>
        </w:rPr>
        <w:t xml:space="preserve"> بنجاح دون أي حظر أو بطء [</w:t>
      </w:r>
      <w:r>
        <w:t>cite</w:t>
      </w:r>
      <w:r>
        <w:rPr>
          <w:rtl/>
        </w:rPr>
        <w:t>: 2, 15].</w:t>
      </w:r>
    </w:p>
    <w:p w14:paraId="490134AA" w14:textId="77777777" w:rsidR="002B0D56" w:rsidRDefault="00957259">
      <w:pPr>
        <w:pStyle w:val="3"/>
        <w:bidi/>
      </w:pPr>
      <w:r>
        <w:rPr>
          <w:rtl/>
        </w:rPr>
        <w:lastRenderedPageBreak/>
        <w:t>الخطوة 5: التوثيق وإغلاق التذكرة (</w:t>
      </w:r>
      <w:r>
        <w:t>Post-Implementation &amp; Closure</w:t>
      </w:r>
      <w:r>
        <w:rPr>
          <w:rtl/>
        </w:rPr>
        <w:t>)</w:t>
      </w:r>
    </w:p>
    <w:p w14:paraId="4E4E3487" w14:textId="77777777" w:rsidR="002B0D56" w:rsidRDefault="0095725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تثبيت ملف الإعدادات الجديد، وتوثيق نتيجة التغيير في تذكرة </w:t>
      </w:r>
      <w:r>
        <w:t>Jira</w:t>
      </w:r>
      <w:r>
        <w:rPr>
          <w:rtl/>
        </w:rPr>
        <w:t>، وإخطار قسم الدعم الفني لتقنية المعلومات باكتمل العملية [</w:t>
      </w:r>
      <w:r>
        <w:t>cite</w:t>
      </w:r>
      <w:r>
        <w:rPr>
          <w:rtl/>
        </w:rPr>
        <w:t>: 2, 15].</w:t>
      </w:r>
    </w:p>
    <w:p w14:paraId="2941EB06" w14:textId="77777777" w:rsidR="002B0D56" w:rsidRDefault="00957259">
      <w:pPr>
        <w:pStyle w:val="1"/>
        <w:bidi/>
      </w:pPr>
      <w:r>
        <w:rPr>
          <w:rtl/>
        </w:rPr>
        <w:t xml:space="preserve">5. الضوابط </w:t>
      </w:r>
      <w:r>
        <w:rPr>
          <w:rtl/>
        </w:rPr>
        <w:t>الأمنية المطبقة (</w:t>
      </w:r>
      <w:r>
        <w:t>Security Controls</w:t>
      </w:r>
      <w:r>
        <w:rPr>
          <w:rtl/>
        </w:rPr>
        <w:t>)</w:t>
      </w:r>
    </w:p>
    <w:p w14:paraId="60E1FFB2" w14:textId="77777777" w:rsidR="002B0D56" w:rsidRDefault="0095725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</w:pPr>
      <w:r>
        <w:pict w14:anchorId="091A700F">
          <v:rect id="_x0000_i1030" style="width:0;height:1.5pt" o:hralign="center" o:hrstd="t" o:hr="t" fillcolor="#a0a0a0" stroked="f"/>
        </w:pict>
      </w:r>
      <w:r>
        <w:rPr>
          <w:b/>
          <w:bCs/>
          <w:rtl/>
        </w:rPr>
        <w:t>السيطرة المزدوجة والمراجعة الثنائية (</w:t>
      </w:r>
      <w:r>
        <w:rPr>
          <w:b/>
          <w:bCs/>
        </w:rPr>
        <w:t>A.8.32 / A.5.37):</w:t>
      </w:r>
      <w:r>
        <w:rPr>
          <w:rtl/>
        </w:rPr>
        <w:t xml:space="preserve"> حظر تنفيذ أي تعديل أو حذف قواعد لجدار الحماية من شخص واحد بشكل أحادي [</w:t>
      </w:r>
      <w:r>
        <w:t>cite</w:t>
      </w:r>
      <w:r>
        <w:rPr>
          <w:rtl/>
        </w:rPr>
        <w:t>: 2, 15].</w:t>
      </w:r>
    </w:p>
    <w:p w14:paraId="591B4A8C" w14:textId="77777777" w:rsidR="002B0D56" w:rsidRDefault="0095725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إدارة التهيئة والنسخ الاحتياطي (</w:t>
      </w:r>
      <w:r>
        <w:rPr>
          <w:b/>
          <w:bCs/>
        </w:rPr>
        <w:t>A.8.9 / A.8.13):</w:t>
      </w:r>
      <w:r>
        <w:rPr>
          <w:rtl/>
        </w:rPr>
        <w:t xml:space="preserve"> الأخذ الآلي للنسخ الاحتياطية قب</w:t>
      </w:r>
      <w:r>
        <w:rPr>
          <w:rtl/>
        </w:rPr>
        <w:t>ل أي تعديل ومطابقة التهيئة المعتمدة [</w:t>
      </w:r>
      <w:r>
        <w:t>cite</w:t>
      </w:r>
      <w:r>
        <w:rPr>
          <w:rtl/>
        </w:rPr>
        <w:t>: 2, 15].</w:t>
      </w:r>
    </w:p>
    <w:p w14:paraId="0707B282" w14:textId="77777777" w:rsidR="002B0D56" w:rsidRDefault="0095725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تسجيل المراقبة والتتبع (</w:t>
      </w:r>
      <w:r>
        <w:rPr>
          <w:b/>
          <w:bCs/>
        </w:rPr>
        <w:t>A.8.15):</w:t>
      </w:r>
      <w:r>
        <w:rPr>
          <w:rtl/>
        </w:rPr>
        <w:t xml:space="preserve"> تسجيل كافة عمليات الدخول والتعديلات المنفذة على </w:t>
      </w:r>
      <w:r>
        <w:t>Palo Alto</w:t>
      </w:r>
      <w:r>
        <w:rPr>
          <w:rtl/>
        </w:rPr>
        <w:t xml:space="preserve"> في نظام جمع السجلات المركزي وسيرفر </w:t>
      </w:r>
      <w:r>
        <w:t>Syslog</w:t>
      </w:r>
      <w:r>
        <w:rPr>
          <w:rtl/>
        </w:rPr>
        <w:t xml:space="preserve"> مع ربطه بخادم المزامنة </w:t>
      </w:r>
      <w:r>
        <w:t>NTP [cite</w:t>
      </w:r>
      <w:r>
        <w:rPr>
          <w:rtl/>
        </w:rPr>
        <w:t>: 2, 3, 15].</w:t>
      </w:r>
    </w:p>
    <w:p w14:paraId="4D57C9F1" w14:textId="77777777" w:rsidR="002B0D56" w:rsidRDefault="00957259">
      <w:pPr>
        <w:pStyle w:val="1"/>
        <w:bidi/>
      </w:pPr>
      <w:r>
        <w:rPr>
          <w:rtl/>
        </w:rPr>
        <w:t>6. إدارة الحوادث (</w:t>
      </w:r>
      <w:r>
        <w:t xml:space="preserve">Incident </w:t>
      </w:r>
      <w:r>
        <w:t>Management</w:t>
      </w:r>
      <w:r>
        <w:rPr>
          <w:rtl/>
        </w:rPr>
        <w:t>)</w:t>
      </w:r>
    </w:p>
    <w:p w14:paraId="3BEAFC8A" w14:textId="77777777" w:rsidR="002B0D56" w:rsidRDefault="00957259">
      <w:pPr>
        <w:pBdr>
          <w:top w:val="nil"/>
          <w:left w:val="nil"/>
          <w:bottom w:val="nil"/>
          <w:right w:val="nil"/>
          <w:between w:val="nil"/>
        </w:pBdr>
        <w:bidi/>
      </w:pPr>
      <w:r>
        <w:pict w14:anchorId="5649A878">
          <v:rect id="_x0000_i1031" style="width:0;height:1.5pt" o:hralign="center" o:hrstd="t" o:hr="t" fillcolor="#a0a0a0" stroked="f"/>
        </w:pict>
      </w:r>
      <w:r>
        <w:rPr>
          <w:rtl/>
        </w:rPr>
        <w:t>في حال تسبب التغيير في أي توقف غير مخطط له للخدمات الرقمية أو حدوث خلل شبكي [</w:t>
      </w:r>
      <w:r>
        <w:t>cite</w:t>
      </w:r>
      <w:r>
        <w:rPr>
          <w:rtl/>
        </w:rPr>
        <w:t>: 2, 15]:</w:t>
      </w:r>
    </w:p>
    <w:p w14:paraId="40E719BE" w14:textId="77777777" w:rsidR="002B0D56" w:rsidRDefault="0095725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يتم الاستدعاء الفوري لخطة التراجع (</w:t>
      </w:r>
      <w:r>
        <w:t>Rollback Plan</w:t>
      </w:r>
      <w:r>
        <w:rPr>
          <w:rtl/>
        </w:rPr>
        <w:t>) وإعادة ملف الإعدادات الاحتياطي في مدة لا تتجاوز 15 دقيقة [</w:t>
      </w:r>
      <w:r>
        <w:t>cite</w:t>
      </w:r>
      <w:r>
        <w:rPr>
          <w:rtl/>
        </w:rPr>
        <w:t>: 2, 15].</w:t>
      </w:r>
    </w:p>
    <w:p w14:paraId="7CD35F2B" w14:textId="77777777" w:rsidR="002B0D56" w:rsidRDefault="0095725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إبلاغ فريق الاستجابة </w:t>
      </w:r>
      <w:r>
        <w:rPr>
          <w:rtl/>
        </w:rPr>
        <w:t>للحوادث (</w:t>
      </w:r>
      <w:r>
        <w:t>IRT</w:t>
      </w:r>
      <w:r>
        <w:rPr>
          <w:rtl/>
        </w:rPr>
        <w:t xml:space="preserve">) فوراً وتفعيل </w:t>
      </w:r>
      <w:r>
        <w:rPr>
          <w:i/>
          <w:iCs/>
          <w:rtl/>
        </w:rPr>
        <w:t>إجراء الاستجابة لحوادث أمن المعلومات (</w:t>
      </w:r>
      <w:r>
        <w:rPr>
          <w:i/>
          <w:iCs/>
        </w:rPr>
        <w:t>ISMS-DOC-A05-26-1)</w:t>
      </w:r>
      <w:r>
        <w:t xml:space="preserve"> [cite: 4, 15].</w:t>
      </w:r>
    </w:p>
    <w:p w14:paraId="53F6E9F5" w14:textId="77777777" w:rsidR="002B0D56" w:rsidRDefault="0095725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إجراء تحليل السبب الجذر (</w:t>
      </w:r>
      <w:r>
        <w:t>Root Cause Analysis - RCA</w:t>
      </w:r>
      <w:r>
        <w:rPr>
          <w:rtl/>
        </w:rPr>
        <w:t>) وتوثيقه لمنع التكرار [</w:t>
      </w:r>
      <w:r>
        <w:t>cite</w:t>
      </w:r>
      <w:r>
        <w:rPr>
          <w:rtl/>
        </w:rPr>
        <w:t>: 2, 15].</w:t>
      </w:r>
    </w:p>
    <w:p w14:paraId="427A473A" w14:textId="77777777" w:rsidR="002B0D56" w:rsidRDefault="00957259">
      <w:pPr>
        <w:pStyle w:val="1"/>
        <w:bidi/>
      </w:pPr>
      <w:r>
        <w:rPr>
          <w:rtl/>
        </w:rPr>
        <w:t>7. المراقبة والتدقيق (</w:t>
      </w:r>
      <w:r>
        <w:t>Monitoring and Auditing</w:t>
      </w:r>
      <w:r>
        <w:rPr>
          <w:rtl/>
        </w:rPr>
        <w:t>)</w:t>
      </w:r>
    </w:p>
    <w:p w14:paraId="680B5323" w14:textId="77777777" w:rsidR="002B0D56" w:rsidRDefault="009572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</w:pPr>
      <w:r>
        <w:pict w14:anchorId="62D0E633">
          <v:rect id="_x0000_i1032" style="width:0;height:1.5pt" o:hralign="center" o:hrstd="t" o:hr="t" fillcolor="#a0a0a0" stroked="f"/>
        </w:pict>
      </w:r>
      <w:r>
        <w:rPr>
          <w:rtl/>
        </w:rPr>
        <w:t>مراجعة أسبوعية لسجلات</w:t>
      </w:r>
      <w:r>
        <w:rPr>
          <w:rtl/>
        </w:rPr>
        <w:t xml:space="preserve"> جدران الحماية وتذاكر التغيير المنفذة بواسطة فريق حوكمة أمن المعلومات لضمان المطابقة [</w:t>
      </w:r>
      <w:r>
        <w:t>cite</w:t>
      </w:r>
      <w:r>
        <w:rPr>
          <w:rtl/>
        </w:rPr>
        <w:t>: 2, 15].</w:t>
      </w:r>
    </w:p>
    <w:p w14:paraId="1581421B" w14:textId="77777777" w:rsidR="002B0D56" w:rsidRDefault="009572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خضوع جميع إجراءات جدران الحماية للتدقيق الداخلي السنوي بنظام إدارة أمن المعلومات [</w:t>
      </w:r>
      <w:r>
        <w:t>cite</w:t>
      </w:r>
      <w:r>
        <w:rPr>
          <w:rtl/>
        </w:rPr>
        <w:t>: 2, 15].</w:t>
      </w:r>
    </w:p>
    <w:p w14:paraId="1AD1B7DD" w14:textId="77777777" w:rsidR="002B0D56" w:rsidRDefault="00957259">
      <w:pPr>
        <w:pStyle w:val="1"/>
        <w:bidi/>
      </w:pPr>
      <w:r>
        <w:rPr>
          <w:rtl/>
        </w:rPr>
        <w:t>8. المراجعة والتحديث (</w:t>
      </w:r>
      <w:r>
        <w:t>Review and Update</w:t>
      </w:r>
      <w:r>
        <w:rPr>
          <w:rtl/>
        </w:rPr>
        <w:t>)</w:t>
      </w:r>
    </w:p>
    <w:p w14:paraId="7A8759A5" w14:textId="77777777" w:rsidR="002B0D56" w:rsidRDefault="00957259">
      <w:pPr>
        <w:pBdr>
          <w:top w:val="nil"/>
          <w:left w:val="nil"/>
          <w:bottom w:val="nil"/>
          <w:right w:val="nil"/>
          <w:between w:val="nil"/>
        </w:pBdr>
        <w:bidi/>
        <w:spacing w:after="375"/>
      </w:pPr>
      <w:r>
        <w:pict w14:anchorId="031C0DDE">
          <v:rect id="_x0000_i1033" style="width:0;height:1.5pt" o:hralign="center" o:hrstd="t" o:hr="t" fillcolor="#a0a0a0" stroked="f"/>
        </w:pict>
      </w:r>
      <w:r>
        <w:rPr>
          <w:rtl/>
        </w:rPr>
        <w:t xml:space="preserve">تتم مراجعة </w:t>
      </w:r>
      <w:r>
        <w:rPr>
          <w:rtl/>
        </w:rPr>
        <w:t>وتحديث هذا الإجراء سنوياً بواسطة مدير قسم البنية التحتية ومعتمديه، أو فور وقوع حوادث أمنية تشغيلية يترتب عليها تعديل في ممارسات التغيير والشبكة [</w:t>
      </w:r>
      <w:r>
        <w:t>cite</w:t>
      </w:r>
      <w:r>
        <w:rPr>
          <w:rtl/>
        </w:rPr>
        <w:t>: 2, 15].</w:t>
      </w:r>
    </w:p>
    <w:p w14:paraId="35871045" w14:textId="77777777" w:rsidR="002B0D56" w:rsidRDefault="00957259">
      <w:pPr>
        <w:pStyle w:val="1"/>
        <w:bidi/>
        <w:spacing w:before="0"/>
      </w:pPr>
      <w:r>
        <w:rPr>
          <w:rtl/>
        </w:rPr>
        <w:lastRenderedPageBreak/>
        <w:t>9. المراجع (</w:t>
      </w:r>
      <w:r>
        <w:t>References</w:t>
      </w:r>
      <w:r>
        <w:rPr>
          <w:rtl/>
        </w:rPr>
        <w:t>)</w:t>
      </w:r>
    </w:p>
    <w:p w14:paraId="1987EE53" w14:textId="77777777" w:rsidR="002B0D56" w:rsidRDefault="009572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</w:pPr>
      <w:r>
        <w:pict w14:anchorId="664CC13B">
          <v:rect id="_x0000_i1034" style="width:0;height:1.5pt" o:hralign="center" o:hrstd="t" o:hr="t" fillcolor="#a0a0a0" stroked="f"/>
        </w:pict>
      </w:r>
      <w:r>
        <w:rPr>
          <w:rtl/>
        </w:rPr>
        <w:t xml:space="preserve">مواصفة </w:t>
      </w:r>
      <w:r>
        <w:t>ISO/IEC</w:t>
      </w:r>
      <w:r>
        <w:rPr>
          <w:rtl/>
        </w:rPr>
        <w:t xml:space="preserve"> 27001:2022 — الضوابط </w:t>
      </w:r>
      <w:r>
        <w:t>A</w:t>
      </w:r>
      <w:r>
        <w:rPr>
          <w:rtl/>
        </w:rPr>
        <w:t xml:space="preserve">.5.37 و </w:t>
      </w:r>
      <w:r>
        <w:t>A</w:t>
      </w:r>
      <w:r>
        <w:rPr>
          <w:rtl/>
        </w:rPr>
        <w:t xml:space="preserve">.8.20 و </w:t>
      </w:r>
      <w:r>
        <w:t>A.8.32 [cite</w:t>
      </w:r>
      <w:r>
        <w:rPr>
          <w:rtl/>
        </w:rPr>
        <w:t>: 2, 15].</w:t>
      </w:r>
    </w:p>
    <w:p w14:paraId="0ECEB607" w14:textId="77777777" w:rsidR="002B0D56" w:rsidRDefault="009572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الإطار التنظيمي للأمن السيبراني الصادر عن البنك المركزي السعودي (</w:t>
      </w:r>
      <w:r>
        <w:t>SAMA) [cite</w:t>
      </w:r>
      <w:r>
        <w:rPr>
          <w:rtl/>
        </w:rPr>
        <w:t>: 2].</w:t>
      </w:r>
    </w:p>
    <w:p w14:paraId="2B29F626" w14:textId="77777777" w:rsidR="002B0D56" w:rsidRDefault="009572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إجراء إدارة التغييرات وتقنية المعلومات لبنك الآفاق الرقمية (</w:t>
      </w:r>
      <w:r>
        <w:t>DHB-IT-CMP-2026) [cite</w:t>
      </w:r>
      <w:r>
        <w:rPr>
          <w:rtl/>
        </w:rPr>
        <w:t>: 2, 15].</w:t>
      </w:r>
    </w:p>
    <w:p w14:paraId="03D4CDD9" w14:textId="77777777" w:rsidR="002B0D56" w:rsidRDefault="009572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>إجراء الاستجابة لحوادث أمن المعلومات لبنك الآفاق الرقمية (</w:t>
      </w:r>
      <w:r>
        <w:t>ISMS-DOC-A05-2</w:t>
      </w:r>
      <w:r>
        <w:t>6-1) [cite</w:t>
      </w:r>
      <w:r>
        <w:rPr>
          <w:rtl/>
        </w:rPr>
        <w:t>: 4].</w:t>
      </w:r>
    </w:p>
    <w:sectPr w:rsidR="002B0D5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5B454E0-9749-49BD-AB45-0C50F17ADC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847B90-0FA0-4FD6-A185-465C039EBC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3BA352-8905-4458-B5ED-9449A4943E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65A2"/>
    <w:multiLevelType w:val="multilevel"/>
    <w:tmpl w:val="7534C3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3A0BB3"/>
    <w:multiLevelType w:val="multilevel"/>
    <w:tmpl w:val="0A1877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839335B"/>
    <w:multiLevelType w:val="multilevel"/>
    <w:tmpl w:val="D0828F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F3E3809"/>
    <w:multiLevelType w:val="multilevel"/>
    <w:tmpl w:val="C9429A0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29559F1"/>
    <w:multiLevelType w:val="multilevel"/>
    <w:tmpl w:val="534E5E3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AB4037F"/>
    <w:multiLevelType w:val="multilevel"/>
    <w:tmpl w:val="A7700C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2835A51"/>
    <w:multiLevelType w:val="multilevel"/>
    <w:tmpl w:val="55DAF56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4942E0E"/>
    <w:multiLevelType w:val="multilevel"/>
    <w:tmpl w:val="13060B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F4E316E"/>
    <w:multiLevelType w:val="multilevel"/>
    <w:tmpl w:val="2C7E24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2"/>
  </w:num>
  <w:num w:numId="5">
    <w:abstractNumId w:val="6"/>
  </w:num>
  <w:num w:numId="6">
    <w:abstractNumId w:val="3"/>
  </w:num>
  <w:num w:numId="7">
    <w:abstractNumId w:val="7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D56"/>
    <w:rsid w:val="002B0D56"/>
    <w:rsid w:val="00956F58"/>
    <w:rsid w:val="00957259"/>
    <w:rsid w:val="00F8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3447F"/>
  <w15:docId w15:val="{0BD2D466-3B6F-4709-851B-6E0AE687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75" w:after="300"/>
      <w:outlineLvl w:val="0"/>
    </w:pPr>
    <w:rPr>
      <w:b/>
      <w:bCs/>
      <w:color w:val="0096A6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1"/>
    </w:pPr>
    <w:rPr>
      <w:b/>
      <w:bCs/>
      <w:color w:val="0096A6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wesammohammed897@hotmail.com</cp:lastModifiedBy>
  <cp:revision>3</cp:revision>
  <dcterms:created xsi:type="dcterms:W3CDTF">2026-09-12T15:56:00Z</dcterms:created>
  <dcterms:modified xsi:type="dcterms:W3CDTF">2026-09-12T16:27:00Z</dcterms:modified>
</cp:coreProperties>
</file>