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before="0"/>
        <w:jc w:val="center"/>
      </w:pPr>
      <w:r>
        <w:rPr>
          <w:rFonts w:ascii="Arial" w:cs="Arial" w:eastAsia="Arial" w:hAnsi="Arial"/>
          <w:b/>
          <w:bCs/>
          <w:color w:val="1F4E79"/>
          <w:sz w:val="36"/>
          <w:szCs w:val="36"/>
        </w:rPr>
        <w:t xml:space="preserve">Propuesta de Diseño Empírico</w:t>
      </w:r>
    </w:p>
    <w:p>
      <w:pPr>
        <w:spacing w:after="100" w:before="0"/>
        <w:jc w:val="center"/>
      </w:pPr>
      <w:r>
        <w:rPr>
          <w:rFonts w:ascii="Arial" w:cs="Arial" w:eastAsia="Arial" w:hAnsi="Arial"/>
          <w:b/>
          <w:bCs/>
          <w:color w:val="2E75B6"/>
          <w:sz w:val="26"/>
          <w:szCs w:val="26"/>
        </w:rPr>
        <w:t xml:space="preserve">Eficiencia técnica hospitalaria y estructura organizativa:</w:t>
      </w:r>
    </w:p>
    <w:p>
      <w:pPr>
        <w:spacing w:after="80" w:before="0"/>
        <w:jc w:val="center"/>
      </w:pPr>
      <w:r>
        <w:rPr>
          <w:rFonts w:ascii="Arial" w:cs="Arial" w:eastAsia="Arial" w:hAnsi="Arial"/>
          <w:color w:val="2E75B6"/>
          <w:sz w:val="24"/>
          <w:szCs w:val="24"/>
        </w:rPr>
        <w:t xml:space="preserve">un análisis de frontera estocástica con outputs diferenciados</w:t>
      </w:r>
    </w:p>
    <w:p>
      <w:pPr>
        <w:spacing w:after="60" w:before="0"/>
        <w:jc w:val="center"/>
      </w:pPr>
      <w:r>
        <w:rPr>
          <w:rFonts w:ascii="Arial" w:cs="Arial" w:eastAsia="Arial" w:hAnsi="Arial"/>
          <w:i/>
          <w:iCs/>
          <w:color w:val="666666"/>
          <w:sz w:val="20"/>
          <w:szCs w:val="20"/>
        </w:rPr>
        <w:t xml:space="preserve">José María Elena Izquierdo — Universidad de Salamanca — 2026</w:t>
      </w:r>
    </w:p>
    <w:p>
      <w:pPr>
        <w:spacing w:after="80" w:before="80"/>
      </w:pPr>
      <w:r>
        <w:t xml:space="preserve"/>
      </w:r>
    </w:p>
    <w:p>
      <w:pPr>
        <w:pStyle w:val="Heading1"/>
        <w:spacing w:after="120" w:before="320"/>
      </w:pPr>
      <w:r>
        <w:rPr>
          <w:rFonts w:ascii="Arial" w:cs="Arial" w:eastAsia="Arial" w:hAnsi="Arial"/>
          <w:b/>
          <w:bCs/>
          <w:color w:val="1F4E79"/>
          <w:sz w:val="28"/>
          <w:szCs w:val="28"/>
        </w:rPr>
        <w:t xml:space="preserve">1. El problema de identificación: por qué se necesitan dos fronteras</w:t>
      </w:r>
    </w:p>
    <w:p>
      <w:pPr>
        <w:spacing w:after="60" w:before="60"/>
      </w:pPr>
      <w:r>
        <w:rPr>
          <w:rFonts w:ascii="Arial" w:cs="Arial" w:eastAsia="Arial" w:hAnsi="Arial"/>
          <w:sz w:val="20"/>
          <w:szCs w:val="20"/>
        </w:rPr>
        <w:t xml:space="preserve">El modelo teórico (Elena Izquierdo, 2019) predice efectos de signo opuesto sobre las dos dimensiones del output hospitalario según el tipo de estructura organizativa y esquema de pago. Una frontera estocástica estándar con un único término de ineficiencia u_it no permite contrastar estas predicciones porque colapsa ambas dimensiones en un único escalar.</w:t>
      </w:r>
    </w:p>
    <w:p>
      <w:pPr>
        <w:spacing w:after="80" w:before="80"/>
      </w:pPr>
      <w:r>
        <w:t xml:space="preserve"/>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2800"/>
        <w:gridCol w:w="3200"/>
        <w:gridCol w:w="3200"/>
      </w:tblGrid>
      <w:tr>
        <w:trPr>
          <w:tblHeader/>
        </w:trPr>
        <w:tc>
          <w:tcPr>
            <w:tcW w:type="dxa" w:w="2800"/>
            <w:tcBorders>
              <w:top w:val="single" w:color="AAAAAA" w:sz="1"/>
              <w:left w:val="single" w:color="AAAAAA" w:sz="1"/>
              <w:bottom w:val="single" w:color="AAAAAA" w:sz="1"/>
              <w:right w:val="single" w:color="AAAAAA" w:sz="1"/>
            </w:tcBorders>
            <w:shd w:fill="1F4E79" w:val="clear"/>
            <w:tcMar>
              <w:top w:type="dxa" w:w="80"/>
              <w:left w:type="dxa" w:w="120"/>
              <w:bottom w:type="dxa" w:w="80"/>
              <w:right w:type="dxa" w:w="120"/>
            </w:tcMar>
          </w:tcPr>
          <w:p>
            <w:r>
              <w:rPr>
                <w:rFonts w:ascii="Arial" w:cs="Arial" w:eastAsia="Arial" w:hAnsi="Arial"/>
                <w:b/>
                <w:bCs/>
                <w:color w:val="FFFFFF"/>
                <w:sz w:val="18"/>
                <w:szCs w:val="18"/>
              </w:rPr>
              <w:t xml:space="preserve">Output</w:t>
            </w:r>
          </w:p>
        </w:tc>
        <w:tc>
          <w:tcPr>
            <w:tcW w:type="dxa" w:w="3200"/>
            <w:tcBorders>
              <w:top w:val="single" w:color="AAAAAA" w:sz="1"/>
              <w:left w:val="single" w:color="AAAAAA" w:sz="1"/>
              <w:bottom w:val="single" w:color="AAAAAA" w:sz="1"/>
              <w:right w:val="single" w:color="AAAAAA" w:sz="1"/>
            </w:tcBorders>
            <w:shd w:fill="1F4E79" w:val="clear"/>
            <w:tcMar>
              <w:top w:type="dxa" w:w="80"/>
              <w:left w:type="dxa" w:w="120"/>
              <w:bottom w:type="dxa" w:w="80"/>
              <w:right w:type="dxa" w:w="120"/>
            </w:tcMar>
          </w:tcPr>
          <w:p>
            <w:r>
              <w:rPr>
                <w:rFonts w:ascii="Arial" w:cs="Arial" w:eastAsia="Arial" w:hAnsi="Arial"/>
                <w:b/>
                <w:bCs/>
                <w:color w:val="FFFFFF"/>
                <w:sz w:val="18"/>
                <w:szCs w:val="18"/>
              </w:rPr>
              <w:t xml:space="preserve">Quién lo produce</w:t>
            </w:r>
          </w:p>
        </w:tc>
        <w:tc>
          <w:tcPr>
            <w:tcW w:type="dxa" w:w="3200"/>
            <w:tcBorders>
              <w:top w:val="single" w:color="AAAAAA" w:sz="1"/>
              <w:left w:val="single" w:color="AAAAAA" w:sz="1"/>
              <w:bottom w:val="single" w:color="AAAAAA" w:sz="1"/>
              <w:right w:val="single" w:color="AAAAAA" w:sz="1"/>
            </w:tcBorders>
            <w:shd w:fill="1F4E79" w:val="clear"/>
            <w:tcMar>
              <w:top w:type="dxa" w:w="80"/>
              <w:left w:type="dxa" w:w="120"/>
              <w:bottom w:type="dxa" w:w="80"/>
              <w:right w:type="dxa" w:w="120"/>
            </w:tcMar>
          </w:tcPr>
          <w:p>
            <w:r>
              <w:rPr>
                <w:rFonts w:ascii="Arial" w:cs="Arial" w:eastAsia="Arial" w:hAnsi="Arial"/>
                <w:b/>
                <w:bCs/>
                <w:color w:val="FFFFFF"/>
                <w:sz w:val="18"/>
                <w:szCs w:val="18"/>
              </w:rPr>
              <w:t xml:space="preserve">Predicción bajo descentralización</w:t>
            </w:r>
          </w:p>
        </w:tc>
      </w:tr>
      <w:tr>
        <w:tc>
          <w:tcPr>
            <w:tcW w:type="dxa" w:w="2800"/>
            <w:tcBorders>
              <w:top w:val="single" w:color="AAAAAA" w:sz="1"/>
              <w:left w:val="single" w:color="AAAAAA" w:sz="1"/>
              <w:bottom w:val="single" w:color="AAAAAA" w:sz="1"/>
              <w:right w:val="single" w:color="AAAAAA" w:sz="1"/>
            </w:tcBorders>
            <w:shd w:fill="D6E4F0" w:val="clear"/>
            <w:tcMar>
              <w:top w:type="dxa" w:w="80"/>
              <w:left w:type="dxa" w:w="120"/>
              <w:bottom w:type="dxa" w:w="80"/>
              <w:right w:type="dxa" w:w="120"/>
            </w:tcMar>
          </w:tcPr>
          <w:p>
            <w:r>
              <w:rPr>
                <w:rFonts w:ascii="Arial" w:cs="Arial" w:eastAsia="Arial" w:hAnsi="Arial"/>
                <w:sz w:val="18"/>
                <w:szCs w:val="18"/>
              </w:rPr>
              <w:t xml:space="preserve">q — Cantidad (altas ponderadas)</w:t>
            </w:r>
          </w:p>
        </w:tc>
        <w:tc>
          <w:tcPr>
            <w:tcW w:type="dxa" w:w="3200"/>
            <w:tcBorders>
              <w:top w:val="single" w:color="AAAAAA" w:sz="1"/>
              <w:left w:val="single" w:color="AAAAAA" w:sz="1"/>
              <w:bottom w:val="single" w:color="AAAAAA" w:sz="1"/>
              <w:right w:val="single" w:color="AAAAAA" w:sz="1"/>
            </w:tcBorders>
            <w:shd w:fill="D6E4F0" w:val="clear"/>
            <w:tcMar>
              <w:top w:type="dxa" w:w="80"/>
              <w:left w:type="dxa" w:w="120"/>
              <w:bottom w:type="dxa" w:w="80"/>
              <w:right w:type="dxa" w:w="120"/>
            </w:tcMar>
          </w:tcPr>
          <w:p>
            <w:r>
              <w:rPr>
                <w:rFonts w:ascii="Arial" w:cs="Arial" w:eastAsia="Arial" w:hAnsi="Arial"/>
                <w:sz w:val="18"/>
                <w:szCs w:val="18"/>
              </w:rPr>
              <w:t xml:space="preserve">Hospital + médico (esfuerzo conjunto)</w:t>
            </w:r>
          </w:p>
        </w:tc>
        <w:tc>
          <w:tcPr>
            <w:tcW w:type="dxa" w:w="3200"/>
            <w:tcBorders>
              <w:top w:val="single" w:color="AAAAAA" w:sz="1"/>
              <w:left w:val="single" w:color="AAAAAA" w:sz="1"/>
              <w:bottom w:val="single" w:color="AAAAAA" w:sz="1"/>
              <w:right w:val="single" w:color="AAAAAA" w:sz="1"/>
            </w:tcBorders>
            <w:shd w:fill="D6E4F0" w:val="clear"/>
            <w:tcMar>
              <w:top w:type="dxa" w:w="80"/>
              <w:left w:type="dxa" w:w="120"/>
              <w:bottom w:type="dxa" w:w="80"/>
              <w:right w:type="dxa" w:w="120"/>
            </w:tcMar>
          </w:tcPr>
          <w:p>
            <w:r>
              <w:rPr>
                <w:rFonts w:ascii="Arial" w:cs="Arial" w:eastAsia="Arial" w:hAnsi="Arial"/>
                <w:sz w:val="18"/>
                <w:szCs w:val="18"/>
              </w:rPr>
              <w:t xml:space="preserve">Mayor esfuerzo → menor ineficiencia en q</w:t>
            </w:r>
          </w:p>
        </w:tc>
      </w:tr>
      <w:tr>
        <w:tc>
          <w:tcPr>
            <w:tcW w:type="dxa" w:w="2800"/>
            <w:tcBorders>
              <w:top w:val="single" w:color="AAAAAA" w:sz="1"/>
              <w:left w:val="single" w:color="AAAAAA" w:sz="1"/>
              <w:bottom w:val="single" w:color="AAAAAA" w:sz="1"/>
              <w:right w:val="single" w:color="AAAAAA" w:sz="1"/>
            </w:tcBorders>
            <w:shd w:fill="EBF3FB" w:val="clear"/>
            <w:tcMar>
              <w:top w:type="dxa" w:w="80"/>
              <w:left w:type="dxa" w:w="120"/>
              <w:bottom w:type="dxa" w:w="80"/>
              <w:right w:type="dxa" w:w="120"/>
            </w:tcMar>
          </w:tcPr>
          <w:p>
            <w:r>
              <w:rPr>
                <w:rFonts w:ascii="Arial" w:cs="Arial" w:eastAsia="Arial" w:hAnsi="Arial"/>
                <w:sz w:val="18"/>
                <w:szCs w:val="18"/>
              </w:rPr>
              <w:t xml:space="preserve">i — Intensidad (servicios por alta)</w:t>
            </w:r>
          </w:p>
        </w:tc>
        <w:tc>
          <w:tcPr>
            <w:tcW w:type="dxa" w:w="3200"/>
            <w:tcBorders>
              <w:top w:val="single" w:color="AAAAAA" w:sz="1"/>
              <w:left w:val="single" w:color="AAAAAA" w:sz="1"/>
              <w:bottom w:val="single" w:color="AAAAAA" w:sz="1"/>
              <w:right w:val="single" w:color="AAAAAA" w:sz="1"/>
            </w:tcBorders>
            <w:shd w:fill="EBF3FB" w:val="clear"/>
            <w:tcMar>
              <w:top w:type="dxa" w:w="80"/>
              <w:left w:type="dxa" w:w="120"/>
              <w:bottom w:type="dxa" w:w="80"/>
              <w:right w:type="dxa" w:w="120"/>
            </w:tcMar>
          </w:tcPr>
          <w:p>
            <w:r>
              <w:rPr>
                <w:rFonts w:ascii="Arial" w:cs="Arial" w:eastAsia="Arial" w:hAnsi="Arial"/>
                <w:sz w:val="18"/>
                <w:szCs w:val="18"/>
              </w:rPr>
              <w:t xml:space="preserve">Solo médico (esfuerzo t₂)</w:t>
            </w:r>
          </w:p>
        </w:tc>
        <w:tc>
          <w:tcPr>
            <w:tcW w:type="dxa" w:w="3200"/>
            <w:tcBorders>
              <w:top w:val="single" w:color="AAAAAA" w:sz="1"/>
              <w:left w:val="single" w:color="AAAAAA" w:sz="1"/>
              <w:bottom w:val="single" w:color="AAAAAA" w:sz="1"/>
              <w:right w:val="single" w:color="AAAAAA" w:sz="1"/>
            </w:tcBorders>
            <w:shd w:fill="EBF3FB" w:val="clear"/>
            <w:tcMar>
              <w:top w:type="dxa" w:w="80"/>
              <w:left w:type="dxa" w:w="120"/>
              <w:bottom w:type="dxa" w:w="80"/>
              <w:right w:type="dxa" w:w="120"/>
            </w:tcMar>
          </w:tcPr>
          <w:p>
            <w:r>
              <w:rPr>
                <w:rFonts w:ascii="Arial" w:cs="Arial" w:eastAsia="Arial" w:hAnsi="Arial"/>
                <w:sz w:val="18"/>
                <w:szCs w:val="18"/>
              </w:rPr>
              <w:t xml:space="preserve">Menor esfuerzo → mayor ineficiencia en i</w:t>
            </w:r>
          </w:p>
        </w:tc>
      </w:tr>
    </w:tbl>
    <w:p>
      <w:pPr>
        <w:spacing w:after="80" w:before="80"/>
      </w:pPr>
      <w:r>
        <w:t xml:space="preserve"/>
      </w:r>
    </w:p>
    <w:p>
      <w:pPr>
        <w:spacing w:after="60" w:before="60"/>
      </w:pPr>
      <w:r>
        <w:rPr>
          <w:rFonts w:ascii="Arial" w:cs="Arial" w:eastAsia="Arial" w:hAnsi="Arial"/>
          <w:sz w:val="20"/>
          <w:szCs w:val="20"/>
        </w:rPr>
        <w:t xml:space="preserve">Esta asimetría estructural es la razón por la que se necesitan dos términos de ineficiencia diferenciados.</w:t>
      </w:r>
    </w:p>
    <w:p>
      <w:pPr>
        <w:spacing w:after="80" w:before="80"/>
      </w:pPr>
      <w:r>
        <w:t xml:space="preserve"/>
      </w:r>
    </w:p>
    <w:p>
      <w:pPr>
        <w:pStyle w:val="Heading1"/>
        <w:spacing w:after="120" w:before="320"/>
      </w:pPr>
      <w:r>
        <w:rPr>
          <w:rFonts w:ascii="Arial" w:cs="Arial" w:eastAsia="Arial" w:hAnsi="Arial"/>
          <w:b/>
          <w:bCs/>
          <w:color w:val="1F4E79"/>
          <w:sz w:val="28"/>
          <w:szCs w:val="28"/>
        </w:rPr>
        <w:t xml:space="preserve">2. Predicciones empíricamente contrastables</w:t>
      </w:r>
    </w:p>
    <w:p>
      <w:pPr>
        <w:spacing w:after="80" w:before="80"/>
      </w:pPr>
      <w:r>
        <w:t xml:space="preserve"/>
      </w:r>
    </w:p>
    <w:tbl>
      <w:tblPr>
        <w:tblW w:type="dxa" w:w="8200"/>
        <w:tblBorders>
          <w:top w:val="single" w:color="auto" w:sz="4"/>
          <w:left w:val="single" w:color="auto" w:sz="4"/>
          <w:bottom w:val="single" w:color="auto" w:sz="4"/>
          <w:right w:val="single" w:color="auto" w:sz="4"/>
          <w:insideH w:val="single" w:color="auto" w:sz="4"/>
          <w:insideV w:val="single" w:color="auto" w:sz="4"/>
        </w:tblBorders>
      </w:tblPr>
      <w:tblGrid>
        <w:gridCol w:w="3200"/>
        <w:gridCol w:w="2800"/>
        <w:gridCol w:w="2200"/>
      </w:tblGrid>
      <w:tr>
        <w:trPr>
          <w:tblHeader/>
        </w:trPr>
        <w:tc>
          <w:tcPr>
            <w:tcW w:type="dxa" w:w="3200"/>
            <w:tcBorders>
              <w:top w:val="single" w:color="AAAAAA" w:sz="1"/>
              <w:left w:val="single" w:color="AAAAAA" w:sz="1"/>
              <w:bottom w:val="single" w:color="AAAAAA" w:sz="1"/>
              <w:right w:val="single" w:color="AAAAAA" w:sz="1"/>
            </w:tcBorders>
            <w:shd w:fill="1F4E79" w:val="clear"/>
            <w:tcMar>
              <w:top w:type="dxa" w:w="80"/>
              <w:left w:type="dxa" w:w="120"/>
              <w:bottom w:type="dxa" w:w="80"/>
              <w:right w:type="dxa" w:w="120"/>
            </w:tcMar>
          </w:tcPr>
          <w:p>
            <w:r>
              <w:rPr>
                <w:rFonts w:ascii="Arial" w:cs="Arial" w:eastAsia="Arial" w:hAnsi="Arial"/>
                <w:b/>
                <w:bCs/>
                <w:color w:val="FFFFFF"/>
                <w:sz w:val="18"/>
                <w:szCs w:val="18"/>
              </w:rPr>
              <w:t xml:space="preserve">Predicción</w:t>
            </w:r>
          </w:p>
        </w:tc>
        <w:tc>
          <w:tcPr>
            <w:tcW w:type="dxa" w:w="2800"/>
            <w:tcBorders>
              <w:top w:val="single" w:color="AAAAAA" w:sz="1"/>
              <w:left w:val="single" w:color="AAAAAA" w:sz="1"/>
              <w:bottom w:val="single" w:color="AAAAAA" w:sz="1"/>
              <w:right w:val="single" w:color="AAAAAA" w:sz="1"/>
            </w:tcBorders>
            <w:shd w:fill="1F4E79" w:val="clear"/>
            <w:tcMar>
              <w:top w:type="dxa" w:w="80"/>
              <w:left w:type="dxa" w:w="120"/>
              <w:bottom w:type="dxa" w:w="80"/>
              <w:right w:type="dxa" w:w="120"/>
            </w:tcMar>
          </w:tcPr>
          <w:p>
            <w:r>
              <w:rPr>
                <w:rFonts w:ascii="Arial" w:cs="Arial" w:eastAsia="Arial" w:hAnsi="Arial"/>
                <w:b/>
                <w:bCs/>
                <w:color w:val="FFFFFF"/>
                <w:sz w:val="18"/>
                <w:szCs w:val="18"/>
              </w:rPr>
              <w:t xml:space="preserve">Contraste formal</w:t>
            </w:r>
          </w:p>
        </w:tc>
        <w:tc>
          <w:tcPr>
            <w:tcW w:type="dxa" w:w="2200"/>
            <w:tcBorders>
              <w:top w:val="single" w:color="AAAAAA" w:sz="1"/>
              <w:left w:val="single" w:color="AAAAAA" w:sz="1"/>
              <w:bottom w:val="single" w:color="AAAAAA" w:sz="1"/>
              <w:right w:val="single" w:color="AAAAAA" w:sz="1"/>
            </w:tcBorders>
            <w:shd w:fill="1F4E79" w:val="clear"/>
            <w:tcMar>
              <w:top w:type="dxa" w:w="80"/>
              <w:left w:type="dxa" w:w="120"/>
              <w:bottom w:type="dxa" w:w="80"/>
              <w:right w:type="dxa" w:w="120"/>
            </w:tcMar>
          </w:tcPr>
          <w:p>
            <w:r>
              <w:rPr>
                <w:rFonts w:ascii="Arial" w:cs="Arial" w:eastAsia="Arial" w:hAnsi="Arial"/>
                <w:b/>
                <w:bCs/>
                <w:color w:val="FFFFFF"/>
                <w:sz w:val="18"/>
                <w:szCs w:val="18"/>
              </w:rPr>
              <w:t xml:space="preserve">Signo esperado</w:t>
            </w:r>
          </w:p>
        </w:tc>
      </w:tr>
      <w:tr>
        <w:tc>
          <w:tcPr>
            <w:tcW w:type="dxa" w:w="3200"/>
            <w:tcBorders>
              <w:top w:val="single" w:color="AAAAAA" w:sz="1"/>
              <w:left w:val="single" w:color="AAAAAA" w:sz="1"/>
              <w:bottom w:val="single" w:color="AAAAAA" w:sz="1"/>
              <w:right w:val="single" w:color="AAAAAA" w:sz="1"/>
            </w:tcBorders>
            <w:shd w:fill="D6E4F0" w:val="clear"/>
            <w:tcMar>
              <w:top w:type="dxa" w:w="80"/>
              <w:left w:type="dxa" w:w="120"/>
              <w:bottom w:type="dxa" w:w="80"/>
              <w:right w:type="dxa" w:w="120"/>
            </w:tcMar>
          </w:tcPr>
          <w:p>
            <w:r>
              <w:rPr>
                <w:rFonts w:ascii="Arial" w:cs="Arial" w:eastAsia="Arial" w:hAnsi="Arial"/>
                <w:sz w:val="18"/>
                <w:szCs w:val="18"/>
              </w:rPr>
              <w:t xml:space="preserve">P1 — Descentralización reduce ineficiencia en cantidad</w:t>
            </w:r>
          </w:p>
        </w:tc>
        <w:tc>
          <w:tcPr>
            <w:tcW w:type="dxa" w:w="2800"/>
            <w:tcBorders>
              <w:top w:val="single" w:color="AAAAAA" w:sz="1"/>
              <w:left w:val="single" w:color="AAAAAA" w:sz="1"/>
              <w:bottom w:val="single" w:color="AAAAAA" w:sz="1"/>
              <w:right w:val="single" w:color="AAAAAA" w:sz="1"/>
            </w:tcBorders>
            <w:shd w:fill="D6E4F0" w:val="clear"/>
            <w:tcMar>
              <w:top w:type="dxa" w:w="80"/>
              <w:left w:type="dxa" w:w="120"/>
              <w:bottom w:type="dxa" w:w="80"/>
              <w:right w:type="dxa" w:w="120"/>
            </w:tcMar>
          </w:tcPr>
          <w:p>
            <w:r>
              <w:rPr>
                <w:rFonts w:ascii="Arial" w:cs="Arial" w:eastAsia="Arial" w:hAnsi="Arial"/>
                <w:sz w:val="18"/>
                <w:szCs w:val="18"/>
              </w:rPr>
              <w:t xml:space="preserve">α₁ en ecuación de u₁</w:t>
            </w:r>
          </w:p>
        </w:tc>
        <w:tc>
          <w:tcPr>
            <w:tcW w:type="dxa" w:w="2200"/>
            <w:tcBorders>
              <w:top w:val="single" w:color="AAAAAA" w:sz="1"/>
              <w:left w:val="single" w:color="AAAAAA" w:sz="1"/>
              <w:bottom w:val="single" w:color="AAAAAA" w:sz="1"/>
              <w:right w:val="single" w:color="AAAAAA" w:sz="1"/>
            </w:tcBorders>
            <w:shd w:fill="D6E4F0" w:val="clear"/>
            <w:tcMar>
              <w:top w:type="dxa" w:w="80"/>
              <w:left w:type="dxa" w:w="120"/>
              <w:bottom w:type="dxa" w:w="80"/>
              <w:right w:type="dxa" w:w="120"/>
            </w:tcMar>
          </w:tcPr>
          <w:p>
            <w:r>
              <w:rPr>
                <w:rFonts w:ascii="Arial" w:cs="Arial" w:eastAsia="Arial" w:hAnsi="Arial"/>
                <w:sz w:val="18"/>
                <w:szCs w:val="18"/>
              </w:rPr>
              <w:t xml:space="preserve">α₁ &lt; 0</w:t>
            </w:r>
          </w:p>
        </w:tc>
      </w:tr>
      <w:tr>
        <w:tc>
          <w:tcPr>
            <w:tcW w:type="dxa" w:w="3200"/>
            <w:tcBorders>
              <w:top w:val="single" w:color="AAAAAA" w:sz="1"/>
              <w:left w:val="single" w:color="AAAAAA" w:sz="1"/>
              <w:bottom w:val="single" w:color="AAAAAA" w:sz="1"/>
              <w:right w:val="single" w:color="AAAAAA" w:sz="1"/>
            </w:tcBorders>
            <w:shd w:fill="EBF3FB" w:val="clear"/>
            <w:tcMar>
              <w:top w:type="dxa" w:w="80"/>
              <w:left w:type="dxa" w:w="120"/>
              <w:bottom w:type="dxa" w:w="80"/>
              <w:right w:type="dxa" w:w="120"/>
            </w:tcMar>
          </w:tcPr>
          <w:p>
            <w:r>
              <w:rPr>
                <w:rFonts w:ascii="Arial" w:cs="Arial" w:eastAsia="Arial" w:hAnsi="Arial"/>
                <w:sz w:val="18"/>
                <w:szCs w:val="18"/>
              </w:rPr>
              <w:t xml:space="preserve">P2 — Descentralización aumenta ineficiencia en intensidad</w:t>
            </w:r>
          </w:p>
        </w:tc>
        <w:tc>
          <w:tcPr>
            <w:tcW w:type="dxa" w:w="2800"/>
            <w:tcBorders>
              <w:top w:val="single" w:color="AAAAAA" w:sz="1"/>
              <w:left w:val="single" w:color="AAAAAA" w:sz="1"/>
              <w:bottom w:val="single" w:color="AAAAAA" w:sz="1"/>
              <w:right w:val="single" w:color="AAAAAA" w:sz="1"/>
            </w:tcBorders>
            <w:shd w:fill="EBF3FB" w:val="clear"/>
            <w:tcMar>
              <w:top w:type="dxa" w:w="80"/>
              <w:left w:type="dxa" w:w="120"/>
              <w:bottom w:type="dxa" w:w="80"/>
              <w:right w:type="dxa" w:w="120"/>
            </w:tcMar>
          </w:tcPr>
          <w:p>
            <w:r>
              <w:rPr>
                <w:rFonts w:ascii="Arial" w:cs="Arial" w:eastAsia="Arial" w:hAnsi="Arial"/>
                <w:sz w:val="18"/>
                <w:szCs w:val="18"/>
              </w:rPr>
              <w:t xml:space="preserve">β₁ en ecuación de u₂</w:t>
            </w:r>
          </w:p>
        </w:tc>
        <w:tc>
          <w:tcPr>
            <w:tcW w:type="dxa" w:w="2200"/>
            <w:tcBorders>
              <w:top w:val="single" w:color="AAAAAA" w:sz="1"/>
              <w:left w:val="single" w:color="AAAAAA" w:sz="1"/>
              <w:bottom w:val="single" w:color="AAAAAA" w:sz="1"/>
              <w:right w:val="single" w:color="AAAAAA" w:sz="1"/>
            </w:tcBorders>
            <w:shd w:fill="EBF3FB" w:val="clear"/>
            <w:tcMar>
              <w:top w:type="dxa" w:w="80"/>
              <w:left w:type="dxa" w:w="120"/>
              <w:bottom w:type="dxa" w:w="80"/>
              <w:right w:type="dxa" w:w="120"/>
            </w:tcMar>
          </w:tcPr>
          <w:p>
            <w:r>
              <w:rPr>
                <w:rFonts w:ascii="Arial" w:cs="Arial" w:eastAsia="Arial" w:hAnsi="Arial"/>
                <w:sz w:val="18"/>
                <w:szCs w:val="18"/>
              </w:rPr>
              <w:t xml:space="preserve">β₁ &gt; 0</w:t>
            </w:r>
          </w:p>
        </w:tc>
      </w:tr>
      <w:tr>
        <w:tc>
          <w:tcPr>
            <w:tcW w:type="dxa" w:w="3200"/>
            <w:tcBorders>
              <w:top w:val="single" w:color="AAAAAA" w:sz="1"/>
              <w:left w:val="single" w:color="AAAAAA" w:sz="1"/>
              <w:bottom w:val="single" w:color="AAAAAA" w:sz="1"/>
              <w:right w:val="single" w:color="AAAAAA" w:sz="1"/>
            </w:tcBorders>
            <w:shd w:fill="D6E4F0" w:val="clear"/>
            <w:tcMar>
              <w:top w:type="dxa" w:w="80"/>
              <w:left w:type="dxa" w:w="120"/>
              <w:bottom w:type="dxa" w:w="80"/>
              <w:right w:type="dxa" w:w="120"/>
            </w:tcMar>
          </w:tcPr>
          <w:p>
            <w:r>
              <w:rPr>
                <w:rFonts w:ascii="Arial" w:cs="Arial" w:eastAsia="Arial" w:hAnsi="Arial"/>
                <w:sz w:val="18"/>
                <w:szCs w:val="18"/>
              </w:rPr>
              <w:t xml:space="preserve">P3 — Efecto del pago difiere entre dimensiones</w:t>
            </w:r>
          </w:p>
        </w:tc>
        <w:tc>
          <w:tcPr>
            <w:tcW w:type="dxa" w:w="2800"/>
            <w:tcBorders>
              <w:top w:val="single" w:color="AAAAAA" w:sz="1"/>
              <w:left w:val="single" w:color="AAAAAA" w:sz="1"/>
              <w:bottom w:val="single" w:color="AAAAAA" w:sz="1"/>
              <w:right w:val="single" w:color="AAAAAA" w:sz="1"/>
            </w:tcBorders>
            <w:shd w:fill="D6E4F0" w:val="clear"/>
            <w:tcMar>
              <w:top w:type="dxa" w:w="80"/>
              <w:left w:type="dxa" w:w="120"/>
              <w:bottom w:type="dxa" w:w="80"/>
              <w:right w:type="dxa" w:w="120"/>
            </w:tcMar>
          </w:tcPr>
          <w:p>
            <w:r>
              <w:rPr>
                <w:rFonts w:ascii="Arial" w:cs="Arial" w:eastAsia="Arial" w:hAnsi="Arial"/>
                <w:sz w:val="18"/>
                <w:szCs w:val="18"/>
              </w:rPr>
              <w:t xml:space="preserve">α₃ ≠ β₃ (interacción desc × pago)</w:t>
            </w:r>
          </w:p>
        </w:tc>
        <w:tc>
          <w:tcPr>
            <w:tcW w:type="dxa" w:w="2200"/>
            <w:tcBorders>
              <w:top w:val="single" w:color="AAAAAA" w:sz="1"/>
              <w:left w:val="single" w:color="AAAAAA" w:sz="1"/>
              <w:bottom w:val="single" w:color="AAAAAA" w:sz="1"/>
              <w:right w:val="single" w:color="AAAAAA" w:sz="1"/>
            </w:tcBorders>
            <w:shd w:fill="D6E4F0" w:val="clear"/>
            <w:tcMar>
              <w:top w:type="dxa" w:w="80"/>
              <w:left w:type="dxa" w:w="120"/>
              <w:bottom w:type="dxa" w:w="80"/>
              <w:right w:type="dxa" w:w="120"/>
            </w:tcMar>
          </w:tcPr>
          <w:p>
            <w:r>
              <w:rPr>
                <w:rFonts w:ascii="Arial" w:cs="Arial" w:eastAsia="Arial" w:hAnsi="Arial"/>
                <w:sz w:val="18"/>
                <w:szCs w:val="18"/>
              </w:rPr>
              <w:t xml:space="preserve">Signos opuestos</w:t>
            </w:r>
          </w:p>
        </w:tc>
      </w:tr>
      <w:tr>
        <w:tc>
          <w:tcPr>
            <w:tcW w:type="dxa" w:w="3200"/>
            <w:tcBorders>
              <w:top w:val="single" w:color="AAAAAA" w:sz="1"/>
              <w:left w:val="single" w:color="AAAAAA" w:sz="1"/>
              <w:bottom w:val="single" w:color="AAAAAA" w:sz="1"/>
              <w:right w:val="single" w:color="AAAAAA" w:sz="1"/>
            </w:tcBorders>
            <w:shd w:fill="EBF3FB" w:val="clear"/>
            <w:tcMar>
              <w:top w:type="dxa" w:w="80"/>
              <w:left w:type="dxa" w:w="120"/>
              <w:bottom w:type="dxa" w:w="80"/>
              <w:right w:type="dxa" w:w="120"/>
            </w:tcMar>
          </w:tcPr>
          <w:p>
            <w:r>
              <w:rPr>
                <w:rFonts w:ascii="Arial" w:cs="Arial" w:eastAsia="Arial" w:hAnsi="Arial"/>
                <w:sz w:val="18"/>
                <w:szCs w:val="18"/>
              </w:rPr>
              <w:t xml:space="preserve">P4 — Complementariedad modera asimétricamente</w:t>
            </w:r>
          </w:p>
        </w:tc>
        <w:tc>
          <w:tcPr>
            <w:tcW w:type="dxa" w:w="2800"/>
            <w:tcBorders>
              <w:top w:val="single" w:color="AAAAAA" w:sz="1"/>
              <w:left w:val="single" w:color="AAAAAA" w:sz="1"/>
              <w:bottom w:val="single" w:color="AAAAAA" w:sz="1"/>
              <w:right w:val="single" w:color="AAAAAA" w:sz="1"/>
            </w:tcBorders>
            <w:shd w:fill="EBF3FB" w:val="clear"/>
            <w:tcMar>
              <w:top w:type="dxa" w:w="80"/>
              <w:left w:type="dxa" w:w="120"/>
              <w:bottom w:type="dxa" w:w="80"/>
              <w:right w:type="dxa" w:w="120"/>
            </w:tcMar>
          </w:tcPr>
          <w:p>
            <w:r>
              <w:rPr>
                <w:rFonts w:ascii="Arial" w:cs="Arial" w:eastAsia="Arial" w:hAnsi="Arial"/>
                <w:sz w:val="18"/>
                <w:szCs w:val="18"/>
              </w:rPr>
              <w:t xml:space="preserve">α₄ ≠ β₄ (interacción desc × ψ₁₂)</w:t>
            </w:r>
          </w:p>
        </w:tc>
        <w:tc>
          <w:tcPr>
            <w:tcW w:type="dxa" w:w="2200"/>
            <w:tcBorders>
              <w:top w:val="single" w:color="AAAAAA" w:sz="1"/>
              <w:left w:val="single" w:color="AAAAAA" w:sz="1"/>
              <w:bottom w:val="single" w:color="AAAAAA" w:sz="1"/>
              <w:right w:val="single" w:color="AAAAAA" w:sz="1"/>
            </w:tcBorders>
            <w:shd w:fill="EBF3FB" w:val="clear"/>
            <w:tcMar>
              <w:top w:type="dxa" w:w="80"/>
              <w:left w:type="dxa" w:w="120"/>
              <w:bottom w:type="dxa" w:w="80"/>
              <w:right w:type="dxa" w:w="120"/>
            </w:tcMar>
          </w:tcPr>
          <w:p>
            <w:r>
              <w:rPr>
                <w:rFonts w:ascii="Arial" w:cs="Arial" w:eastAsia="Arial" w:hAnsi="Arial"/>
                <w:sz w:val="18"/>
                <w:szCs w:val="18"/>
              </w:rPr>
              <w:t xml:space="preserve">Signos opuestos</w:t>
            </w:r>
          </w:p>
        </w:tc>
      </w:tr>
    </w:tbl>
    <w:p>
      <w:pPr>
        <w:spacing w:after="80" w:before="80"/>
      </w:pPr>
      <w:r>
        <w:t xml:space="preserve"/>
      </w:r>
    </w:p>
    <w:p>
      <w:pPr>
        <w:spacing w:after="60" w:before="60"/>
      </w:pPr>
      <w:r>
        <w:rPr>
          <w:rFonts w:ascii="Arial" w:cs="Arial" w:eastAsia="Arial" w:hAnsi="Arial"/>
          <w:sz w:val="20"/>
          <w:szCs w:val="20"/>
        </w:rPr>
        <w:t xml:space="preserve">El contraste central del modelo es H₀: vector δ_q = vector δ_i (igualdad de los vectores de coeficientes en las ecuaciones de ineficiencia de ambas fronteras). El rechazo con los signos predicados constituye confirmación empírica de la teoría.</w:t>
      </w:r>
    </w:p>
    <w:p>
      <w:pPr>
        <w:spacing w:after="80" w:before="80"/>
      </w:pPr>
      <w:r>
        <w:t xml:space="preserve"/>
      </w:r>
    </w:p>
    <w:p>
      <w:pPr>
        <w:pStyle w:val="Heading1"/>
        <w:spacing w:after="120" w:before="320"/>
      </w:pPr>
      <w:r>
        <w:rPr>
          <w:rFonts w:ascii="Arial" w:cs="Arial" w:eastAsia="Arial" w:hAnsi="Arial"/>
          <w:b/>
          <w:bCs/>
          <w:color w:val="1F4E79"/>
          <w:sz w:val="28"/>
          <w:szCs w:val="28"/>
        </w:rPr>
        <w:t xml:space="preserve">3. Estrategia de estimación recomendada</w:t>
      </w:r>
    </w:p>
    <w:p>
      <w:pPr>
        <w:pStyle w:val="Heading2"/>
        <w:spacing w:after="80" w:before="240"/>
      </w:pPr>
      <w:r>
        <w:rPr>
          <w:rFonts w:ascii="Arial" w:cs="Arial" w:eastAsia="Arial" w:hAnsi="Arial"/>
          <w:b/>
          <w:bCs/>
          <w:color w:val="2E75B6"/>
          <w:sz w:val="24"/>
          <w:szCs w:val="24"/>
        </w:rPr>
        <w:t xml:space="preserve">Opción A — Dos fronteras independientes (punto de partida)</w:t>
      </w:r>
    </w:p>
    <w:p>
      <w:pPr>
        <w:spacing w:after="60" w:before="60"/>
      </w:pPr>
      <w:r>
        <w:rPr>
          <w:rFonts w:ascii="Arial" w:cs="Arial" w:eastAsia="Arial" w:hAnsi="Arial"/>
          <w:sz w:val="20"/>
          <w:szCs w:val="20"/>
        </w:rPr>
        <w:t xml:space="preserve">Estimación con sfaR (R) usando Battese-Coelli 1995 o Wang-Schmidt 2002. Una frontera translog para ln(q) y otra para ln(i), cada una con su ecuación de ineficiencia heterogénea. El contraste de igualdad de coeficientes se realiza con un test de Wald bootstrap. Es la opción más directa, publicable como primer paso y replicable con software estándar.</w:t>
      </w:r>
    </w:p>
    <w:p>
      <w:pPr>
        <w:spacing w:after="80" w:before="80"/>
      </w:pPr>
      <w:r>
        <w:t xml:space="preserve"/>
      </w:r>
    </w:p>
    <w:p>
      <w:pPr>
        <w:pStyle w:val="Heading2"/>
        <w:spacing w:after="80" w:before="240"/>
      </w:pPr>
      <w:r>
        <w:rPr>
          <w:rFonts w:ascii="Arial" w:cs="Arial" w:eastAsia="Arial" w:hAnsi="Arial"/>
          <w:b/>
          <w:bCs/>
          <w:color w:val="2E75B6"/>
          <w:sz w:val="24"/>
          <w:szCs w:val="24"/>
        </w:rPr>
        <w:t xml:space="preserve">Opción B — Sistema bivariado con ineficiencias correlacionadas (versión publicable)</w:t>
      </w:r>
    </w:p>
    <w:p>
      <w:pPr>
        <w:spacing w:after="60" w:before="60"/>
      </w:pPr>
      <w:r>
        <w:rPr>
          <w:rFonts w:ascii="Arial" w:cs="Arial" w:eastAsia="Arial" w:hAnsi="Arial"/>
          <w:sz w:val="20"/>
          <w:szCs w:val="20"/>
        </w:rPr>
        <w:t xml:space="preserve">Estimación conjunta de las dos fronteras permitiendo que Cov(u₁_it, u₂_it) = σ_u12 ≠ 0. La función de log-verosimilitud del sistema se programa en maxLik (R) usando una cópula gaussiana sobre las distribuciones marginales de los errores compuestos. Permite:</w:t>
      </w:r>
    </w:p>
    <w:p>
      <w:pPr>
        <w:pStyle w:val="ListParagraph"/>
        <w:numPr>
          <w:ilvl w:val="0"/>
          <w:numId w:val="2"/>
        </w:numPr>
        <w:spacing w:after="40" w:before="40"/>
      </w:pPr>
      <w:r>
        <w:rPr>
          <w:rFonts w:ascii="Arial" w:cs="Arial" w:eastAsia="Arial" w:hAnsi="Arial"/>
          <w:sz w:val="20"/>
          <w:szCs w:val="20"/>
        </w:rPr>
        <w:t xml:space="preserve">Contrastar formalmente H₀: ρ_u = 0 (si se rechaza, la estimación conjunta era necesaria)</w:t>
      </w:r>
    </w:p>
    <w:p>
      <w:pPr>
        <w:pStyle w:val="ListParagraph"/>
        <w:numPr>
          <w:ilvl w:val="0"/>
          <w:numId w:val="2"/>
        </w:numPr>
        <w:spacing w:after="40" w:before="40"/>
      </w:pPr>
      <w:r>
        <w:rPr>
          <w:rFonts w:ascii="Arial" w:cs="Arial" w:eastAsia="Arial" w:hAnsi="Arial"/>
          <w:sz w:val="20"/>
          <w:szCs w:val="20"/>
        </w:rPr>
        <w:t xml:space="preserve">Obtener estimadores más eficientes que las fronteras independientes si ρ_u ≠ 0</w:t>
      </w:r>
    </w:p>
    <w:p>
      <w:pPr>
        <w:pStyle w:val="ListParagraph"/>
        <w:numPr>
          <w:ilvl w:val="0"/>
          <w:numId w:val="2"/>
        </w:numPr>
        <w:spacing w:after="40" w:before="40"/>
      </w:pPr>
      <w:r>
        <w:rPr>
          <w:rFonts w:ascii="Arial" w:cs="Arial" w:eastAsia="Arial" w:hAnsi="Arial"/>
          <w:sz w:val="20"/>
          <w:szCs w:val="20"/>
        </w:rPr>
        <w:t xml:space="preserve">Contrastar P1-P4 en una única estimación coherente</w:t>
      </w:r>
    </w:p>
    <w:p>
      <w:pPr>
        <w:spacing w:after="80" w:before="80"/>
      </w:pPr>
      <w:r>
        <w:t xml:space="preserve"/>
      </w:r>
    </w:p>
    <w:p>
      <w:pPr>
        <w:pStyle w:val="Heading2"/>
        <w:spacing w:after="80" w:before="240"/>
      </w:pPr>
      <w:r>
        <w:rPr>
          <w:rFonts w:ascii="Arial" w:cs="Arial" w:eastAsia="Arial" w:hAnsi="Arial"/>
          <w:b/>
          <w:bCs/>
          <w:color w:val="2E75B6"/>
          <w:sz w:val="24"/>
          <w:szCs w:val="24"/>
        </w:rPr>
        <w:t xml:space="preserve">Opción C — Estimación bayesiana con Stan (análisis de robustez)</w:t>
      </w:r>
    </w:p>
    <w:p>
      <w:pPr>
        <w:spacing w:after="60" w:before="60"/>
      </w:pPr>
      <w:r>
        <w:rPr>
          <w:rFonts w:ascii="Arial" w:cs="Arial" w:eastAsia="Arial" w:hAnsi="Arial"/>
          <w:sz w:val="20"/>
          <w:szCs w:val="20"/>
        </w:rPr>
        <w:t xml:space="preserve">Especificación de la normal truncada bivariada como distribución marginal + condicional. Más robusta ante problemas de convergencia numérica. Creciente aceptación en Health Economics y EJHE como análisis complementario.</w:t>
      </w:r>
    </w:p>
    <w:p>
      <w:pPr>
        <w:spacing w:after="80" w:before="80"/>
      </w:pPr>
      <w:r>
        <w:t xml:space="preserve"/>
      </w:r>
    </w:p>
    <w:p>
      <w:pPr>
        <w:spacing w:after="60" w:before="60"/>
      </w:pPr>
      <w:r>
        <w:rPr>
          <w:rFonts w:ascii="Arial" w:cs="Arial" w:eastAsia="Arial" w:hAnsi="Arial"/>
          <w:i/>
          <w:iCs/>
          <w:sz w:val="20"/>
          <w:szCs w:val="20"/>
        </w:rPr>
        <w:t xml:space="preserve">Recomendación: comenzar con Opción A para resultados preliminares (congresos), desarrollar Opción B para la versión publicable definitiva, y usar Opción C como análisis de sensibilidad.</w:t>
      </w:r>
    </w:p>
    <w:p>
      <w:pPr>
        <w:spacing w:after="80" w:before="80"/>
      </w:pPr>
      <w:r>
        <w:t xml:space="preserve"/>
      </w:r>
    </w:p>
    <w:p>
      <w:pPr>
        <w:pStyle w:val="Heading1"/>
        <w:spacing w:after="120" w:before="320"/>
      </w:pPr>
      <w:r>
        <w:rPr>
          <w:rFonts w:ascii="Arial" w:cs="Arial" w:eastAsia="Arial" w:hAnsi="Arial"/>
          <w:b/>
          <w:bCs/>
          <w:color w:val="1F4E79"/>
          <w:sz w:val="28"/>
          <w:szCs w:val="28"/>
        </w:rPr>
        <w:t xml:space="preserve">4. Fuentes de datos y construcción de variables</w:t>
      </w:r>
    </w:p>
    <w:p>
      <w:pPr>
        <w:pStyle w:val="Heading2"/>
        <w:spacing w:after="80" w:before="240"/>
      </w:pPr>
      <w:r>
        <w:rPr>
          <w:rFonts w:ascii="Arial" w:cs="Arial" w:eastAsia="Arial" w:hAnsi="Arial"/>
          <w:b/>
          <w:bCs/>
          <w:color w:val="2E75B6"/>
          <w:sz w:val="24"/>
          <w:szCs w:val="24"/>
        </w:rPr>
        <w:t xml:space="preserve">4.1 Panel hospitalario (unidad de análisis: hospital × año, 2010-2023)</w:t>
      </w:r>
    </w:p>
    <w:p>
      <w:pPr>
        <w:spacing w:after="80" w:before="80"/>
      </w:pPr>
      <w:r>
        <w:t xml:space="preserve"/>
      </w:r>
    </w:p>
    <w:tbl>
      <w:tblPr>
        <w:tblW w:type="dxa" w:w="8200"/>
        <w:tblBorders>
          <w:top w:val="single" w:color="auto" w:sz="4"/>
          <w:left w:val="single" w:color="auto" w:sz="4"/>
          <w:bottom w:val="single" w:color="auto" w:sz="4"/>
          <w:right w:val="single" w:color="auto" w:sz="4"/>
          <w:insideH w:val="single" w:color="auto" w:sz="4"/>
          <w:insideV w:val="single" w:color="auto" w:sz="4"/>
        </w:tblBorders>
      </w:tblPr>
      <w:tblGrid>
        <w:gridCol w:w="2400"/>
        <w:gridCol w:w="1800"/>
        <w:gridCol w:w="4000"/>
      </w:tblGrid>
      <w:tr>
        <w:trPr>
          <w:tblHeader/>
        </w:trPr>
        <w:tc>
          <w:tcPr>
            <w:tcW w:type="dxa" w:w="2400"/>
            <w:tcBorders>
              <w:top w:val="single" w:color="AAAAAA" w:sz="1"/>
              <w:left w:val="single" w:color="AAAAAA" w:sz="1"/>
              <w:bottom w:val="single" w:color="AAAAAA" w:sz="1"/>
              <w:right w:val="single" w:color="AAAAAA" w:sz="1"/>
            </w:tcBorders>
            <w:shd w:fill="1F4E79" w:val="clear"/>
            <w:tcMar>
              <w:top w:type="dxa" w:w="80"/>
              <w:left w:type="dxa" w:w="120"/>
              <w:bottom w:type="dxa" w:w="80"/>
              <w:right w:type="dxa" w:w="120"/>
            </w:tcMar>
          </w:tcPr>
          <w:p>
            <w:r>
              <w:rPr>
                <w:rFonts w:ascii="Arial" w:cs="Arial" w:eastAsia="Arial" w:hAnsi="Arial"/>
                <w:b/>
                <w:bCs/>
                <w:color w:val="FFFFFF"/>
                <w:sz w:val="18"/>
                <w:szCs w:val="18"/>
              </w:rPr>
              <w:t xml:space="preserve">Variable</w:t>
            </w:r>
          </w:p>
        </w:tc>
        <w:tc>
          <w:tcPr>
            <w:tcW w:type="dxa" w:w="1800"/>
            <w:tcBorders>
              <w:top w:val="single" w:color="AAAAAA" w:sz="1"/>
              <w:left w:val="single" w:color="AAAAAA" w:sz="1"/>
              <w:bottom w:val="single" w:color="AAAAAA" w:sz="1"/>
              <w:right w:val="single" w:color="AAAAAA" w:sz="1"/>
            </w:tcBorders>
            <w:shd w:fill="1F4E79" w:val="clear"/>
            <w:tcMar>
              <w:top w:type="dxa" w:w="80"/>
              <w:left w:type="dxa" w:w="120"/>
              <w:bottom w:type="dxa" w:w="80"/>
              <w:right w:type="dxa" w:w="120"/>
            </w:tcMar>
          </w:tcPr>
          <w:p>
            <w:r>
              <w:rPr>
                <w:rFonts w:ascii="Arial" w:cs="Arial" w:eastAsia="Arial" w:hAnsi="Arial"/>
                <w:b/>
                <w:bCs/>
                <w:color w:val="FFFFFF"/>
                <w:sz w:val="18"/>
                <w:szCs w:val="18"/>
              </w:rPr>
              <w:t xml:space="preserve">Fuente</w:t>
            </w:r>
          </w:p>
        </w:tc>
        <w:tc>
          <w:tcPr>
            <w:tcW w:type="dxa" w:w="4000"/>
            <w:tcBorders>
              <w:top w:val="single" w:color="AAAAAA" w:sz="1"/>
              <w:left w:val="single" w:color="AAAAAA" w:sz="1"/>
              <w:bottom w:val="single" w:color="AAAAAA" w:sz="1"/>
              <w:right w:val="single" w:color="AAAAAA" w:sz="1"/>
            </w:tcBorders>
            <w:shd w:fill="1F4E79" w:val="clear"/>
            <w:tcMar>
              <w:top w:type="dxa" w:w="80"/>
              <w:left w:type="dxa" w:w="120"/>
              <w:bottom w:type="dxa" w:w="80"/>
              <w:right w:type="dxa" w:w="120"/>
            </w:tcMar>
          </w:tcPr>
          <w:p>
            <w:r>
              <w:rPr>
                <w:rFonts w:ascii="Arial" w:cs="Arial" w:eastAsia="Arial" w:hAnsi="Arial"/>
                <w:b/>
                <w:bCs/>
                <w:color w:val="FFFFFF"/>
                <w:sz w:val="18"/>
                <w:szCs w:val="18"/>
              </w:rPr>
              <w:t xml:space="preserve">Construcción</w:t>
            </w:r>
          </w:p>
        </w:tc>
      </w:tr>
      <w:tr>
        <w:tc>
          <w:tcPr>
            <w:tcW w:type="dxa" w:w="2400"/>
            <w:tcBorders>
              <w:top w:val="single" w:color="AAAAAA" w:sz="1"/>
              <w:left w:val="single" w:color="AAAAAA" w:sz="1"/>
              <w:bottom w:val="single" w:color="AAAAAA" w:sz="1"/>
              <w:right w:val="single" w:color="AAAAAA" w:sz="1"/>
            </w:tcBorders>
            <w:shd w:fill="D6E4F0" w:val="clear"/>
            <w:tcMar>
              <w:top w:type="dxa" w:w="80"/>
              <w:left w:type="dxa" w:w="120"/>
              <w:bottom w:type="dxa" w:w="80"/>
              <w:right w:type="dxa" w:w="120"/>
            </w:tcMar>
          </w:tcPr>
          <w:p>
            <w:r>
              <w:rPr>
                <w:rFonts w:ascii="Arial" w:cs="Arial" w:eastAsia="Arial" w:hAnsi="Arial"/>
                <w:sz w:val="18"/>
                <w:szCs w:val="18"/>
              </w:rPr>
              <w:t xml:space="preserve">q — Altas ponderadas (cantidad)</w:t>
            </w:r>
          </w:p>
        </w:tc>
        <w:tc>
          <w:tcPr>
            <w:tcW w:type="dxa" w:w="1800"/>
            <w:tcBorders>
              <w:top w:val="single" w:color="AAAAAA" w:sz="1"/>
              <w:left w:val="single" w:color="AAAAAA" w:sz="1"/>
              <w:bottom w:val="single" w:color="AAAAAA" w:sz="1"/>
              <w:right w:val="single" w:color="AAAAAA" w:sz="1"/>
            </w:tcBorders>
            <w:shd w:fill="D6E4F0" w:val="clear"/>
            <w:tcMar>
              <w:top w:type="dxa" w:w="80"/>
              <w:left w:type="dxa" w:w="120"/>
              <w:bottom w:type="dxa" w:w="80"/>
              <w:right w:type="dxa" w:w="120"/>
            </w:tcMar>
          </w:tcPr>
          <w:p>
            <w:r>
              <w:rPr>
                <w:rFonts w:ascii="Arial" w:cs="Arial" w:eastAsia="Arial" w:hAnsi="Arial"/>
                <w:sz w:val="18"/>
                <w:szCs w:val="18"/>
              </w:rPr>
              <w:t xml:space="preserve">RAE-CMBD</w:t>
            </w:r>
          </w:p>
        </w:tc>
        <w:tc>
          <w:tcPr>
            <w:tcW w:type="dxa" w:w="4000"/>
            <w:tcBorders>
              <w:top w:val="single" w:color="AAAAAA" w:sz="1"/>
              <w:left w:val="single" w:color="AAAAAA" w:sz="1"/>
              <w:bottom w:val="single" w:color="AAAAAA" w:sz="1"/>
              <w:right w:val="single" w:color="AAAAAA" w:sz="1"/>
            </w:tcBorders>
            <w:shd w:fill="D6E4F0" w:val="clear"/>
            <w:tcMar>
              <w:top w:type="dxa" w:w="80"/>
              <w:left w:type="dxa" w:w="120"/>
              <w:bottom w:type="dxa" w:w="80"/>
              <w:right w:type="dxa" w:w="120"/>
            </w:tcMar>
          </w:tcPr>
          <w:p>
            <w:r>
              <w:rPr>
                <w:rFonts w:ascii="Arial" w:cs="Arial" w:eastAsia="Arial" w:hAnsi="Arial"/>
                <w:sz w:val="18"/>
                <w:szCs w:val="18"/>
              </w:rPr>
              <w:t xml:space="preserve">Nº altas × Peso medio GRD APR por hospital-año</w:t>
            </w:r>
          </w:p>
        </w:tc>
      </w:tr>
      <w:tr>
        <w:tc>
          <w:tcPr>
            <w:tcW w:type="dxa" w:w="2400"/>
            <w:tcBorders>
              <w:top w:val="single" w:color="AAAAAA" w:sz="1"/>
              <w:left w:val="single" w:color="AAAAAA" w:sz="1"/>
              <w:bottom w:val="single" w:color="AAAAAA" w:sz="1"/>
              <w:right w:val="single" w:color="AAAAAA" w:sz="1"/>
            </w:tcBorders>
            <w:shd w:fill="EBF3FB" w:val="clear"/>
            <w:tcMar>
              <w:top w:type="dxa" w:w="80"/>
              <w:left w:type="dxa" w:w="120"/>
              <w:bottom w:type="dxa" w:w="80"/>
              <w:right w:type="dxa" w:w="120"/>
            </w:tcMar>
          </w:tcPr>
          <w:p>
            <w:r>
              <w:rPr>
                <w:rFonts w:ascii="Arial" w:cs="Arial" w:eastAsia="Arial" w:hAnsi="Arial"/>
                <w:sz w:val="18"/>
                <w:szCs w:val="18"/>
              </w:rPr>
              <w:t xml:space="preserve">i — Intensidad asistencial</w:t>
            </w:r>
          </w:p>
        </w:tc>
        <w:tc>
          <w:tcPr>
            <w:tcW w:type="dxa" w:w="1800"/>
            <w:tcBorders>
              <w:top w:val="single" w:color="AAAAAA" w:sz="1"/>
              <w:left w:val="single" w:color="AAAAAA" w:sz="1"/>
              <w:bottom w:val="single" w:color="AAAAAA" w:sz="1"/>
              <w:right w:val="single" w:color="AAAAAA" w:sz="1"/>
            </w:tcBorders>
            <w:shd w:fill="EBF3FB" w:val="clear"/>
            <w:tcMar>
              <w:top w:type="dxa" w:w="80"/>
              <w:left w:type="dxa" w:w="120"/>
              <w:bottom w:type="dxa" w:w="80"/>
              <w:right w:type="dxa" w:w="120"/>
            </w:tcMar>
          </w:tcPr>
          <w:p>
            <w:r>
              <w:rPr>
                <w:rFonts w:ascii="Arial" w:cs="Arial" w:eastAsia="Arial" w:hAnsi="Arial"/>
                <w:sz w:val="18"/>
                <w:szCs w:val="18"/>
              </w:rPr>
              <w:t xml:space="preserve">RAE-CMBD</w:t>
            </w:r>
          </w:p>
        </w:tc>
        <w:tc>
          <w:tcPr>
            <w:tcW w:type="dxa" w:w="4000"/>
            <w:tcBorders>
              <w:top w:val="single" w:color="AAAAAA" w:sz="1"/>
              <w:left w:val="single" w:color="AAAAAA" w:sz="1"/>
              <w:bottom w:val="single" w:color="AAAAAA" w:sz="1"/>
              <w:right w:val="single" w:color="AAAAAA" w:sz="1"/>
            </w:tcBorders>
            <w:shd w:fill="EBF3FB" w:val="clear"/>
            <w:tcMar>
              <w:top w:type="dxa" w:w="80"/>
              <w:left w:type="dxa" w:w="120"/>
              <w:bottom w:type="dxa" w:w="80"/>
              <w:right w:type="dxa" w:w="120"/>
            </w:tcMar>
          </w:tcPr>
          <w:p>
            <w:r>
              <w:rPr>
                <w:rFonts w:ascii="Arial" w:cs="Arial" w:eastAsia="Arial" w:hAnsi="Arial"/>
                <w:sz w:val="18"/>
                <w:szCs w:val="18"/>
              </w:rPr>
              <w:t xml:space="preserve">Nº medio de procedimientos por alta ponderada (contadores por capítulo CIE)</w:t>
            </w:r>
          </w:p>
        </w:tc>
      </w:tr>
      <w:tr>
        <w:tc>
          <w:tcPr>
            <w:tcW w:type="dxa" w:w="2400"/>
            <w:tcBorders>
              <w:top w:val="single" w:color="AAAAAA" w:sz="1"/>
              <w:left w:val="single" w:color="AAAAAA" w:sz="1"/>
              <w:bottom w:val="single" w:color="AAAAAA" w:sz="1"/>
              <w:right w:val="single" w:color="AAAAAA" w:sz="1"/>
            </w:tcBorders>
            <w:shd w:fill="D6E4F0" w:val="clear"/>
            <w:tcMar>
              <w:top w:type="dxa" w:w="80"/>
              <w:left w:type="dxa" w:w="120"/>
              <w:bottom w:type="dxa" w:w="80"/>
              <w:right w:type="dxa" w:w="120"/>
            </w:tcMar>
          </w:tcPr>
          <w:p>
            <w:r>
              <w:rPr>
                <w:rFonts w:ascii="Arial" w:cs="Arial" w:eastAsia="Arial" w:hAnsi="Arial"/>
                <w:sz w:val="18"/>
                <w:szCs w:val="18"/>
              </w:rPr>
              <w:t xml:space="preserve">ψ̂₁₂ — Proxy complementariedad</w:t>
            </w:r>
          </w:p>
        </w:tc>
        <w:tc>
          <w:tcPr>
            <w:tcW w:type="dxa" w:w="1800"/>
            <w:tcBorders>
              <w:top w:val="single" w:color="AAAAAA" w:sz="1"/>
              <w:left w:val="single" w:color="AAAAAA" w:sz="1"/>
              <w:bottom w:val="single" w:color="AAAAAA" w:sz="1"/>
              <w:right w:val="single" w:color="AAAAAA" w:sz="1"/>
            </w:tcBorders>
            <w:shd w:fill="D6E4F0" w:val="clear"/>
            <w:tcMar>
              <w:top w:type="dxa" w:w="80"/>
              <w:left w:type="dxa" w:w="120"/>
              <w:bottom w:type="dxa" w:w="80"/>
              <w:right w:type="dxa" w:w="120"/>
            </w:tcMar>
          </w:tcPr>
          <w:p>
            <w:r>
              <w:rPr>
                <w:rFonts w:ascii="Arial" w:cs="Arial" w:eastAsia="Arial" w:hAnsi="Arial"/>
                <w:sz w:val="18"/>
                <w:szCs w:val="18"/>
              </w:rPr>
              <w:t xml:space="preserve">RAE-CMBD</w:t>
            </w:r>
          </w:p>
        </w:tc>
        <w:tc>
          <w:tcPr>
            <w:tcW w:type="dxa" w:w="4000"/>
            <w:tcBorders>
              <w:top w:val="single" w:color="AAAAAA" w:sz="1"/>
              <w:left w:val="single" w:color="AAAAAA" w:sz="1"/>
              <w:bottom w:val="single" w:color="AAAAAA" w:sz="1"/>
              <w:right w:val="single" w:color="AAAAAA" w:sz="1"/>
            </w:tcBorders>
            <w:shd w:fill="D6E4F0" w:val="clear"/>
            <w:tcMar>
              <w:top w:type="dxa" w:w="80"/>
              <w:left w:type="dxa" w:w="120"/>
              <w:bottom w:type="dxa" w:w="80"/>
              <w:right w:type="dxa" w:w="120"/>
            </w:tcMar>
          </w:tcPr>
          <w:p>
            <w:r>
              <w:rPr>
                <w:rFonts w:ascii="Arial" w:cs="Arial" w:eastAsia="Arial" w:hAnsi="Arial"/>
                <w:sz w:val="18"/>
                <w:szCs w:val="18"/>
              </w:rPr>
              <w:t xml:space="preserve">% altas con procedimiento quirúrgico mayor (Tipo GRD Q/M)</w:t>
            </w:r>
          </w:p>
        </w:tc>
      </w:tr>
      <w:tr>
        <w:tc>
          <w:tcPr>
            <w:tcW w:type="dxa" w:w="2400"/>
            <w:tcBorders>
              <w:top w:val="single" w:color="AAAAAA" w:sz="1"/>
              <w:left w:val="single" w:color="AAAAAA" w:sz="1"/>
              <w:bottom w:val="single" w:color="AAAAAA" w:sz="1"/>
              <w:right w:val="single" w:color="AAAAAA" w:sz="1"/>
            </w:tcBorders>
            <w:shd w:fill="EBF3FB" w:val="clear"/>
            <w:tcMar>
              <w:top w:type="dxa" w:w="80"/>
              <w:left w:type="dxa" w:w="120"/>
              <w:bottom w:type="dxa" w:w="80"/>
              <w:right w:type="dxa" w:w="120"/>
            </w:tcMar>
          </w:tcPr>
          <w:p>
            <w:r>
              <w:rPr>
                <w:rFonts w:ascii="Arial" w:cs="Arial" w:eastAsia="Arial" w:hAnsi="Arial"/>
                <w:sz w:val="18"/>
                <w:szCs w:val="18"/>
              </w:rPr>
              <w:t xml:space="preserve">Capital (K)</w:t>
            </w:r>
          </w:p>
        </w:tc>
        <w:tc>
          <w:tcPr>
            <w:tcW w:type="dxa" w:w="1800"/>
            <w:tcBorders>
              <w:top w:val="single" w:color="AAAAAA" w:sz="1"/>
              <w:left w:val="single" w:color="AAAAAA" w:sz="1"/>
              <w:bottom w:val="single" w:color="AAAAAA" w:sz="1"/>
              <w:right w:val="single" w:color="AAAAAA" w:sz="1"/>
            </w:tcBorders>
            <w:shd w:fill="EBF3FB" w:val="clear"/>
            <w:tcMar>
              <w:top w:type="dxa" w:w="80"/>
              <w:left w:type="dxa" w:w="120"/>
              <w:bottom w:type="dxa" w:w="80"/>
              <w:right w:type="dxa" w:w="120"/>
            </w:tcMar>
          </w:tcPr>
          <w:p>
            <w:r>
              <w:rPr>
                <w:rFonts w:ascii="Arial" w:cs="Arial" w:eastAsia="Arial" w:hAnsi="Arial"/>
                <w:sz w:val="18"/>
                <w:szCs w:val="18"/>
              </w:rPr>
              <w:t xml:space="preserve">SIAE + CNH</w:t>
            </w:r>
          </w:p>
        </w:tc>
        <w:tc>
          <w:tcPr>
            <w:tcW w:type="dxa" w:w="4000"/>
            <w:tcBorders>
              <w:top w:val="single" w:color="AAAAAA" w:sz="1"/>
              <w:left w:val="single" w:color="AAAAAA" w:sz="1"/>
              <w:bottom w:val="single" w:color="AAAAAA" w:sz="1"/>
              <w:right w:val="single" w:color="AAAAAA" w:sz="1"/>
            </w:tcBorders>
            <w:shd w:fill="EBF3FB" w:val="clear"/>
            <w:tcMar>
              <w:top w:type="dxa" w:w="80"/>
              <w:left w:type="dxa" w:w="120"/>
              <w:bottom w:type="dxa" w:w="80"/>
              <w:right w:type="dxa" w:w="120"/>
            </w:tcMar>
          </w:tcPr>
          <w:p>
            <w:r>
              <w:rPr>
                <w:rFonts w:ascii="Arial" w:cs="Arial" w:eastAsia="Arial" w:hAnsi="Arial"/>
                <w:sz w:val="18"/>
                <w:szCs w:val="18"/>
              </w:rPr>
              <w:t xml:space="preserve">Camas en funcionamiento + índice equipamiento tecnológico</w:t>
            </w:r>
          </w:p>
        </w:tc>
      </w:tr>
      <w:tr>
        <w:tc>
          <w:tcPr>
            <w:tcW w:type="dxa" w:w="2400"/>
            <w:tcBorders>
              <w:top w:val="single" w:color="AAAAAA" w:sz="1"/>
              <w:left w:val="single" w:color="AAAAAA" w:sz="1"/>
              <w:bottom w:val="single" w:color="AAAAAA" w:sz="1"/>
              <w:right w:val="single" w:color="AAAAAA" w:sz="1"/>
            </w:tcBorders>
            <w:shd w:fill="D6E4F0" w:val="clear"/>
            <w:tcMar>
              <w:top w:type="dxa" w:w="80"/>
              <w:left w:type="dxa" w:w="120"/>
              <w:bottom w:type="dxa" w:w="80"/>
              <w:right w:type="dxa" w:w="120"/>
            </w:tcMar>
          </w:tcPr>
          <w:p>
            <w:r>
              <w:rPr>
                <w:rFonts w:ascii="Arial" w:cs="Arial" w:eastAsia="Arial" w:hAnsi="Arial"/>
                <w:sz w:val="18"/>
                <w:szCs w:val="18"/>
              </w:rPr>
              <w:t xml:space="preserve">Trabajo (L)</w:t>
            </w:r>
          </w:p>
        </w:tc>
        <w:tc>
          <w:tcPr>
            <w:tcW w:type="dxa" w:w="1800"/>
            <w:tcBorders>
              <w:top w:val="single" w:color="AAAAAA" w:sz="1"/>
              <w:left w:val="single" w:color="AAAAAA" w:sz="1"/>
              <w:bottom w:val="single" w:color="AAAAAA" w:sz="1"/>
              <w:right w:val="single" w:color="AAAAAA" w:sz="1"/>
            </w:tcBorders>
            <w:shd w:fill="D6E4F0" w:val="clear"/>
            <w:tcMar>
              <w:top w:type="dxa" w:w="80"/>
              <w:left w:type="dxa" w:w="120"/>
              <w:bottom w:type="dxa" w:w="80"/>
              <w:right w:type="dxa" w:w="120"/>
            </w:tcMar>
          </w:tcPr>
          <w:p>
            <w:r>
              <w:rPr>
                <w:rFonts w:ascii="Arial" w:cs="Arial" w:eastAsia="Arial" w:hAnsi="Arial"/>
                <w:sz w:val="18"/>
                <w:szCs w:val="18"/>
              </w:rPr>
              <w:t xml:space="preserve">SIAE</w:t>
            </w:r>
          </w:p>
        </w:tc>
        <w:tc>
          <w:tcPr>
            <w:tcW w:type="dxa" w:w="4000"/>
            <w:tcBorders>
              <w:top w:val="single" w:color="AAAAAA" w:sz="1"/>
              <w:left w:val="single" w:color="AAAAAA" w:sz="1"/>
              <w:bottom w:val="single" w:color="AAAAAA" w:sz="1"/>
              <w:right w:val="single" w:color="AAAAAA" w:sz="1"/>
            </w:tcBorders>
            <w:shd w:fill="D6E4F0" w:val="clear"/>
            <w:tcMar>
              <w:top w:type="dxa" w:w="80"/>
              <w:left w:type="dxa" w:w="120"/>
              <w:bottom w:type="dxa" w:w="80"/>
              <w:right w:type="dxa" w:w="120"/>
            </w:tcMar>
          </w:tcPr>
          <w:p>
            <w:r>
              <w:rPr>
                <w:rFonts w:ascii="Arial" w:cs="Arial" w:eastAsia="Arial" w:hAnsi="Arial"/>
                <w:sz w:val="18"/>
                <w:szCs w:val="18"/>
              </w:rPr>
              <w:t xml:space="preserve">Personal médico EJC + personal enfermería EJC</w:t>
            </w:r>
          </w:p>
        </w:tc>
      </w:tr>
      <w:tr>
        <w:tc>
          <w:tcPr>
            <w:tcW w:type="dxa" w:w="2400"/>
            <w:tcBorders>
              <w:top w:val="single" w:color="AAAAAA" w:sz="1"/>
              <w:left w:val="single" w:color="AAAAAA" w:sz="1"/>
              <w:bottom w:val="single" w:color="AAAAAA" w:sz="1"/>
              <w:right w:val="single" w:color="AAAAAA" w:sz="1"/>
            </w:tcBorders>
            <w:shd w:fill="EBF3FB" w:val="clear"/>
            <w:tcMar>
              <w:top w:type="dxa" w:w="80"/>
              <w:left w:type="dxa" w:w="120"/>
              <w:bottom w:type="dxa" w:w="80"/>
              <w:right w:type="dxa" w:w="120"/>
            </w:tcMar>
          </w:tcPr>
          <w:p>
            <w:r>
              <w:rPr>
                <w:rFonts w:ascii="Arial" w:cs="Arial" w:eastAsia="Arial" w:hAnsi="Arial"/>
                <w:sz w:val="18"/>
                <w:szCs w:val="18"/>
              </w:rPr>
              <w:t xml:space="preserve">D_desc — Estructura organizativa</w:t>
            </w:r>
          </w:p>
        </w:tc>
        <w:tc>
          <w:tcPr>
            <w:tcW w:type="dxa" w:w="1800"/>
            <w:tcBorders>
              <w:top w:val="single" w:color="AAAAAA" w:sz="1"/>
              <w:left w:val="single" w:color="AAAAAA" w:sz="1"/>
              <w:bottom w:val="single" w:color="AAAAAA" w:sz="1"/>
              <w:right w:val="single" w:color="AAAAAA" w:sz="1"/>
            </w:tcBorders>
            <w:shd w:fill="EBF3FB" w:val="clear"/>
            <w:tcMar>
              <w:top w:type="dxa" w:w="80"/>
              <w:left w:type="dxa" w:w="120"/>
              <w:bottom w:type="dxa" w:w="80"/>
              <w:right w:type="dxa" w:w="120"/>
            </w:tcMar>
          </w:tcPr>
          <w:p>
            <w:r>
              <w:rPr>
                <w:rFonts w:ascii="Arial" w:cs="Arial" w:eastAsia="Arial" w:hAnsi="Arial"/>
                <w:sz w:val="18"/>
                <w:szCs w:val="18"/>
              </w:rPr>
              <w:t xml:space="preserve">CNH / REGCESS</w:t>
            </w:r>
          </w:p>
        </w:tc>
        <w:tc>
          <w:tcPr>
            <w:tcW w:type="dxa" w:w="4000"/>
            <w:tcBorders>
              <w:top w:val="single" w:color="AAAAAA" w:sz="1"/>
              <w:left w:val="single" w:color="AAAAAA" w:sz="1"/>
              <w:bottom w:val="single" w:color="AAAAAA" w:sz="1"/>
              <w:right w:val="single" w:color="AAAAAA" w:sz="1"/>
            </w:tcBorders>
            <w:shd w:fill="EBF3FB" w:val="clear"/>
            <w:tcMar>
              <w:top w:type="dxa" w:w="80"/>
              <w:left w:type="dxa" w:w="120"/>
              <w:bottom w:type="dxa" w:w="80"/>
              <w:right w:type="dxa" w:w="120"/>
            </w:tcMar>
          </w:tcPr>
          <w:p>
            <w:r>
              <w:rPr>
                <w:rFonts w:ascii="Arial" w:cs="Arial" w:eastAsia="Arial" w:hAnsi="Arial"/>
                <w:sz w:val="18"/>
                <w:szCs w:val="18"/>
              </w:rPr>
              <w:t xml:space="preserve">1 = gestión privada/concesión/fundación; 0 = SNS titularidad pública</w:t>
            </w:r>
          </w:p>
        </w:tc>
      </w:tr>
      <w:tr>
        <w:tc>
          <w:tcPr>
            <w:tcW w:type="dxa" w:w="2400"/>
            <w:tcBorders>
              <w:top w:val="single" w:color="AAAAAA" w:sz="1"/>
              <w:left w:val="single" w:color="AAAAAA" w:sz="1"/>
              <w:bottom w:val="single" w:color="AAAAAA" w:sz="1"/>
              <w:right w:val="single" w:color="AAAAAA" w:sz="1"/>
            </w:tcBorders>
            <w:shd w:fill="D6E4F0" w:val="clear"/>
            <w:tcMar>
              <w:top w:type="dxa" w:w="80"/>
              <w:left w:type="dxa" w:w="120"/>
              <w:bottom w:type="dxa" w:w="80"/>
              <w:right w:type="dxa" w:w="120"/>
            </w:tcMar>
          </w:tcPr>
          <w:p>
            <w:r>
              <w:rPr>
                <w:rFonts w:ascii="Arial" w:cs="Arial" w:eastAsia="Arial" w:hAnsi="Arial"/>
                <w:sz w:val="18"/>
                <w:szCs w:val="18"/>
              </w:rPr>
              <w:t xml:space="preserve">Pago — Tipo de financiación</w:t>
            </w:r>
          </w:p>
        </w:tc>
        <w:tc>
          <w:tcPr>
            <w:tcW w:type="dxa" w:w="1800"/>
            <w:tcBorders>
              <w:top w:val="single" w:color="AAAAAA" w:sz="1"/>
              <w:left w:val="single" w:color="AAAAAA" w:sz="1"/>
              <w:bottom w:val="single" w:color="AAAAAA" w:sz="1"/>
              <w:right w:val="single" w:color="AAAAAA" w:sz="1"/>
            </w:tcBorders>
            <w:shd w:fill="D6E4F0" w:val="clear"/>
            <w:tcMar>
              <w:top w:type="dxa" w:w="80"/>
              <w:left w:type="dxa" w:w="120"/>
              <w:bottom w:type="dxa" w:w="80"/>
              <w:right w:type="dxa" w:w="120"/>
            </w:tcMar>
          </w:tcPr>
          <w:p>
            <w:r>
              <w:rPr>
                <w:rFonts w:ascii="Arial" w:cs="Arial" w:eastAsia="Arial" w:hAnsi="Arial"/>
                <w:sz w:val="18"/>
                <w:szCs w:val="18"/>
              </w:rPr>
              <w:t xml:space="preserve">SIAE + RAE-CMBD</w:t>
            </w:r>
          </w:p>
        </w:tc>
        <w:tc>
          <w:tcPr>
            <w:tcW w:type="dxa" w:w="4000"/>
            <w:tcBorders>
              <w:top w:val="single" w:color="AAAAAA" w:sz="1"/>
              <w:left w:val="single" w:color="AAAAAA" w:sz="1"/>
              <w:bottom w:val="single" w:color="AAAAAA" w:sz="1"/>
              <w:right w:val="single" w:color="AAAAAA" w:sz="1"/>
            </w:tcBorders>
            <w:shd w:fill="D6E4F0" w:val="clear"/>
            <w:tcMar>
              <w:top w:type="dxa" w:w="80"/>
              <w:left w:type="dxa" w:w="120"/>
              <w:bottom w:type="dxa" w:w="80"/>
              <w:right w:type="dxa" w:w="120"/>
            </w:tcMar>
          </w:tcPr>
          <w:p>
            <w:r>
              <w:rPr>
                <w:rFonts w:ascii="Arial" w:cs="Arial" w:eastAsia="Arial" w:hAnsi="Arial"/>
                <w:sz w:val="18"/>
                <w:szCs w:val="18"/>
              </w:rPr>
              <w:t xml:space="preserve">% ingresos SNS / aseguradora privada / pago directo</w:t>
            </w:r>
          </w:p>
        </w:tc>
      </w:tr>
      <w:tr>
        <w:tc>
          <w:tcPr>
            <w:tcW w:type="dxa" w:w="2400"/>
            <w:tcBorders>
              <w:top w:val="single" w:color="AAAAAA" w:sz="1"/>
              <w:left w:val="single" w:color="AAAAAA" w:sz="1"/>
              <w:bottom w:val="single" w:color="AAAAAA" w:sz="1"/>
              <w:right w:val="single" w:color="AAAAAA" w:sz="1"/>
            </w:tcBorders>
            <w:shd w:fill="EBF3FB" w:val="clear"/>
            <w:tcMar>
              <w:top w:type="dxa" w:w="80"/>
              <w:left w:type="dxa" w:w="120"/>
              <w:bottom w:type="dxa" w:w="80"/>
              <w:right w:type="dxa" w:w="120"/>
            </w:tcMar>
          </w:tcPr>
          <w:p>
            <w:r>
              <w:rPr>
                <w:rFonts w:ascii="Arial" w:cs="Arial" w:eastAsia="Arial" w:hAnsi="Arial"/>
                <w:sz w:val="18"/>
                <w:szCs w:val="18"/>
              </w:rPr>
              <w:t xml:space="preserve">Tendencia temporal</w:t>
            </w:r>
          </w:p>
        </w:tc>
        <w:tc>
          <w:tcPr>
            <w:tcW w:type="dxa" w:w="1800"/>
            <w:tcBorders>
              <w:top w:val="single" w:color="AAAAAA" w:sz="1"/>
              <w:left w:val="single" w:color="AAAAAA" w:sz="1"/>
              <w:bottom w:val="single" w:color="AAAAAA" w:sz="1"/>
              <w:right w:val="single" w:color="AAAAAA" w:sz="1"/>
            </w:tcBorders>
            <w:shd w:fill="EBF3FB" w:val="clear"/>
            <w:tcMar>
              <w:top w:type="dxa" w:w="80"/>
              <w:left w:type="dxa" w:w="120"/>
              <w:bottom w:type="dxa" w:w="80"/>
              <w:right w:type="dxa" w:w="120"/>
            </w:tcMar>
          </w:tcPr>
          <w:p>
            <w:r>
              <w:rPr>
                <w:rFonts w:ascii="Arial" w:cs="Arial" w:eastAsia="Arial" w:hAnsi="Arial"/>
                <w:sz w:val="18"/>
                <w:szCs w:val="18"/>
              </w:rPr>
              <w:t xml:space="preserve">—</w:t>
            </w:r>
          </w:p>
        </w:tc>
        <w:tc>
          <w:tcPr>
            <w:tcW w:type="dxa" w:w="4000"/>
            <w:tcBorders>
              <w:top w:val="single" w:color="AAAAAA" w:sz="1"/>
              <w:left w:val="single" w:color="AAAAAA" w:sz="1"/>
              <w:bottom w:val="single" w:color="AAAAAA" w:sz="1"/>
              <w:right w:val="single" w:color="AAAAAA" w:sz="1"/>
            </w:tcBorders>
            <w:shd w:fill="EBF3FB" w:val="clear"/>
            <w:tcMar>
              <w:top w:type="dxa" w:w="80"/>
              <w:left w:type="dxa" w:w="120"/>
              <w:bottom w:type="dxa" w:w="80"/>
              <w:right w:type="dxa" w:w="120"/>
            </w:tcMar>
          </w:tcPr>
          <w:p>
            <w:r>
              <w:rPr>
                <w:rFonts w:ascii="Arial" w:cs="Arial" w:eastAsia="Arial" w:hAnsi="Arial"/>
                <w:sz w:val="18"/>
                <w:szCs w:val="18"/>
              </w:rPr>
              <w:t xml:space="preserve">t = año - 2010 (captura progreso técnico)</w:t>
            </w:r>
          </w:p>
        </w:tc>
      </w:tr>
    </w:tbl>
    <w:p>
      <w:pPr>
        <w:spacing w:after="80" w:before="80"/>
      </w:pPr>
      <w:r>
        <w:t xml:space="preserve"/>
      </w:r>
    </w:p>
    <w:p>
      <w:pPr>
        <w:pStyle w:val="Heading2"/>
        <w:spacing w:after="80" w:before="240"/>
      </w:pPr>
      <w:r>
        <w:rPr>
          <w:rFonts w:ascii="Arial" w:cs="Arial" w:eastAsia="Arial" w:hAnsi="Arial"/>
          <w:b/>
          <w:bCs/>
          <w:color w:val="2E75B6"/>
          <w:sz w:val="24"/>
          <w:szCs w:val="24"/>
        </w:rPr>
        <w:t xml:space="preserve">4.2 Nota sobre la variable de intensidad</w:t>
      </w:r>
    </w:p>
    <w:p>
      <w:pPr>
        <w:spacing w:after="60" w:before="60"/>
      </w:pPr>
      <w:r>
        <w:rPr>
          <w:rFonts w:ascii="Arial" w:cs="Arial" w:eastAsia="Arial" w:hAnsi="Arial"/>
          <w:sz w:val="20"/>
          <w:szCs w:val="20"/>
        </w:rPr>
        <w:t xml:space="preserve">La medida propuesta (procedimientos por alta ponderada) opera a nivel de hospital-año y no requiere los códigos individuales de procedimiento: se construye a partir de contadores agregados por capítulo CIE solicitados al RAE-CMBD. Este diseño respeta los compromisos de confidencialidad del Ministerio de Sanidad y es consistente con la dimensión i del modelo teórico (volumen de servicios diagnóstico-terapéuticos por episodio).</w:t>
      </w:r>
    </w:p>
    <w:p>
      <w:pPr>
        <w:spacing w:after="80" w:before="80"/>
      </w:pPr>
      <w:r>
        <w:t xml:space="preserve"/>
      </w:r>
    </w:p>
    <w:p>
      <w:pPr>
        <w:pStyle w:val="Heading2"/>
        <w:spacing w:after="80" w:before="240"/>
      </w:pPr>
      <w:r>
        <w:rPr>
          <w:rFonts w:ascii="Arial" w:cs="Arial" w:eastAsia="Arial" w:hAnsi="Arial"/>
          <w:b/>
          <w:bCs/>
          <w:color w:val="2E75B6"/>
          <w:sz w:val="24"/>
          <w:szCs w:val="24"/>
        </w:rPr>
        <w:t xml:space="preserve">4.3 Cobertura institucional</w:t>
      </w:r>
    </w:p>
    <w:p>
      <w:pPr>
        <w:spacing w:after="60" w:before="60"/>
      </w:pPr>
      <w:r>
        <w:rPr>
          <w:rFonts w:ascii="Arial" w:cs="Arial" w:eastAsia="Arial" w:hAnsi="Arial"/>
          <w:sz w:val="20"/>
          <w:szCs w:val="20"/>
        </w:rPr>
        <w:t xml:space="preserve">El RAE-CMBD cubre con fiabilidad: hospitales públicos SNS, hospitales de gestión privada con financiación pública (concesiones, fundaciones, consorcios) y hospitales privados concertados. Los hospitales privados puros tienen cobertura irregular desde 2016 y se tratarán como grupo de sensibilidad si su representación es suficiente.</w:t>
      </w:r>
    </w:p>
    <w:p>
      <w:pPr>
        <w:spacing w:after="80" w:before="80"/>
      </w:pPr>
      <w:r>
        <w:t xml:space="preserve"/>
      </w:r>
    </w:p>
    <w:p>
      <w:pPr>
        <w:pStyle w:val="Heading1"/>
        <w:spacing w:after="120" w:before="320"/>
      </w:pPr>
      <w:r>
        <w:rPr>
          <w:rFonts w:ascii="Arial" w:cs="Arial" w:eastAsia="Arial" w:hAnsi="Arial"/>
          <w:b/>
          <w:bCs/>
          <w:color w:val="1F4E79"/>
          <w:sz w:val="28"/>
          <w:szCs w:val="28"/>
        </w:rPr>
        <w:t xml:space="preserve">5. Especificación econométrica</w:t>
      </w:r>
    </w:p>
    <w:p>
      <w:pPr>
        <w:pStyle w:val="Heading2"/>
        <w:spacing w:after="80" w:before="240"/>
      </w:pPr>
      <w:r>
        <w:rPr>
          <w:rFonts w:ascii="Arial" w:cs="Arial" w:eastAsia="Arial" w:hAnsi="Arial"/>
          <w:b/>
          <w:bCs/>
          <w:color w:val="2E75B6"/>
          <w:sz w:val="24"/>
          <w:szCs w:val="24"/>
        </w:rPr>
        <w:t xml:space="preserve">Frontera de cantidad</w:t>
      </w:r>
    </w:p>
    <w:p>
      <w:pPr>
        <w:spacing w:after="80" w:before="80"/>
      </w:pPr>
      <w:r>
        <w:rPr>
          <w:rFonts w:ascii="Courier New" w:cs="Courier New" w:eastAsia="Courier New" w:hAnsi="Courier New"/>
          <w:sz w:val="20"/>
          <w:szCs w:val="20"/>
        </w:rPr>
        <w:t xml:space="preserve">ln q_it = f(L_it, K_it; β₁) + v₁_it − u₁_it</w:t>
      </w:r>
    </w:p>
    <w:p>
      <w:pPr>
        <w:spacing w:after="80" w:before="40"/>
      </w:pPr>
      <w:r>
        <w:rPr>
          <w:rFonts w:ascii="Courier New" w:cs="Courier New" w:eastAsia="Courier New" w:hAnsi="Courier New"/>
          <w:sz w:val="20"/>
          <w:szCs w:val="20"/>
        </w:rPr>
        <w:t xml:space="preserve">μ₁_it = α₀ + α₁·D_desc + α₂·Pago + α₃·(D_desc × Pago) + α₄·ψ̂₁₂</w:t>
      </w:r>
    </w:p>
    <w:p>
      <w:pPr>
        <w:pStyle w:val="Heading2"/>
        <w:spacing w:after="80" w:before="240"/>
      </w:pPr>
      <w:r>
        <w:rPr>
          <w:rFonts w:ascii="Arial" w:cs="Arial" w:eastAsia="Arial" w:hAnsi="Arial"/>
          <w:b/>
          <w:bCs/>
          <w:color w:val="2E75B6"/>
          <w:sz w:val="24"/>
          <w:szCs w:val="24"/>
        </w:rPr>
        <w:t xml:space="preserve">Frontera de intensidad</w:t>
      </w:r>
    </w:p>
    <w:p>
      <w:pPr>
        <w:spacing w:after="80" w:before="80"/>
      </w:pPr>
      <w:r>
        <w:rPr>
          <w:rFonts w:ascii="Courier New" w:cs="Courier New" w:eastAsia="Courier New" w:hAnsi="Courier New"/>
          <w:sz w:val="20"/>
          <w:szCs w:val="20"/>
        </w:rPr>
        <w:t xml:space="preserve">ln i_it = g(L_it, K_it; β₂) + v₂_it − u₂_it</w:t>
      </w:r>
    </w:p>
    <w:p>
      <w:pPr>
        <w:spacing w:after="80" w:before="40"/>
      </w:pPr>
      <w:r>
        <w:rPr>
          <w:rFonts w:ascii="Courier New" w:cs="Courier New" w:eastAsia="Courier New" w:hAnsi="Courier New"/>
          <w:sz w:val="20"/>
          <w:szCs w:val="20"/>
        </w:rPr>
        <w:t xml:space="preserve">μ₂_it = δ₀ + δ₁·D_desc + δ₂·Pago + δ₃·(D_desc × Pago) + δ₄·ψ̂₁₂</w:t>
      </w:r>
    </w:p>
    <w:p>
      <w:pPr>
        <w:spacing w:after="60" w:before="60"/>
      </w:pPr>
      <w:r>
        <w:rPr>
          <w:rFonts w:ascii="Arial" w:cs="Arial" w:eastAsia="Arial" w:hAnsi="Arial"/>
          <w:sz w:val="20"/>
          <w:szCs w:val="20"/>
        </w:rPr>
        <w:t xml:space="preserve">Las funciones f(·) y g(·) se especifican como translog para mayor flexibilidad. Los términos de ineficiencia siguen distribuciones normales truncadas con medias heterogéneas μ_k_it. En la versión bivariada, Cov(u₁_it, u₂_it) = σ_u12 se estima conjuntamente.</w:t>
      </w:r>
    </w:p>
    <w:p>
      <w:pPr>
        <w:spacing w:after="80" w:before="80"/>
      </w:pPr>
      <w:r>
        <w:t xml:space="preserve"/>
      </w:r>
    </w:p>
    <w:p>
      <w:pPr>
        <w:pStyle w:val="Heading1"/>
        <w:spacing w:after="120" w:before="320"/>
      </w:pPr>
      <w:r>
        <w:rPr>
          <w:rFonts w:ascii="Arial" w:cs="Arial" w:eastAsia="Arial" w:hAnsi="Arial"/>
          <w:b/>
          <w:bCs/>
          <w:color w:val="1F4E79"/>
          <w:sz w:val="28"/>
          <w:szCs w:val="28"/>
        </w:rPr>
        <w:t xml:space="preserve">6. Limitaciones principales</w:t>
      </w:r>
    </w:p>
    <w:p>
      <w:pPr>
        <w:pStyle w:val="ListParagraph"/>
        <w:numPr>
          <w:ilvl w:val="0"/>
          <w:numId w:val="2"/>
        </w:numPr>
        <w:spacing w:after="40" w:before="40"/>
      </w:pPr>
      <w:r>
        <w:rPr>
          <w:rFonts w:ascii="Arial" w:cs="Arial" w:eastAsia="Arial" w:hAnsi="Arial"/>
          <w:sz w:val="20"/>
          <w:szCs w:val="20"/>
        </w:rPr>
        <w:t xml:space="preserve">Medición de intensidad: los contadores de procedimientos por capítulo CIE son una proxy; la medida ideal requeriría tarifas relativas por procedimiento que no están disponibles de forma homogénea para todo el período 2010-2023.</w:t>
      </w:r>
    </w:p>
    <w:p>
      <w:pPr>
        <w:pStyle w:val="ListParagraph"/>
        <w:numPr>
          <w:ilvl w:val="0"/>
          <w:numId w:val="2"/>
        </w:numPr>
        <w:spacing w:after="40" w:before="40"/>
      </w:pPr>
      <w:r>
        <w:rPr>
          <w:rFonts w:ascii="Arial" w:cs="Arial" w:eastAsia="Arial" w:hAnsi="Arial"/>
          <w:sz w:val="20"/>
          <w:szCs w:val="20"/>
        </w:rPr>
        <w:t xml:space="preserve">Proxy de ψ₁₂: el porcentaje de GRD quirúrgicos captura la complementariedad entre tareas de forma imperfecta; alternativas como el índice de Herfindahl de servicios pueden usarse como robustez.</w:t>
      </w:r>
    </w:p>
    <w:p>
      <w:pPr>
        <w:pStyle w:val="ListParagraph"/>
        <w:numPr>
          <w:ilvl w:val="0"/>
          <w:numId w:val="2"/>
        </w:numPr>
        <w:spacing w:after="40" w:before="40"/>
      </w:pPr>
      <w:r>
        <w:rPr>
          <w:rFonts w:ascii="Arial" w:cs="Arial" w:eastAsia="Arial" w:hAnsi="Arial"/>
          <w:sz w:val="20"/>
          <w:szCs w:val="20"/>
        </w:rPr>
        <w:t xml:space="preserve">Hospitales privados puros: cobertura irregular en RAE-CMBD impide incluirlos como grupo de comparación pleno en el período completo.</w:t>
      </w:r>
    </w:p>
    <w:p>
      <w:pPr>
        <w:pStyle w:val="ListParagraph"/>
        <w:numPr>
          <w:ilvl w:val="0"/>
          <w:numId w:val="2"/>
        </w:numPr>
        <w:spacing w:after="40" w:before="40"/>
      </w:pPr>
      <w:r>
        <w:rPr>
          <w:rFonts w:ascii="Arial" w:cs="Arial" w:eastAsia="Arial" w:hAnsi="Arial"/>
          <w:sz w:val="20"/>
          <w:szCs w:val="20"/>
        </w:rPr>
        <w:t xml:space="preserve">Heterogeneidad no observada: el modelo de panel SFA absorbe parte de la heterogeneidad hospitalaria mediante efectos individuales, pero factores como la calidad del equipo directivo o la cultura organizativa no son observables.</w:t>
      </w:r>
    </w:p>
    <w:p>
      <w:pPr>
        <w:spacing w:after="80" w:before="80"/>
      </w:pPr>
      <w:r>
        <w:t xml:space="preserve"/>
      </w:r>
    </w:p>
    <w:p>
      <w:pPr>
        <w:pStyle w:val="Heading1"/>
        <w:spacing w:after="120" w:before="320"/>
      </w:pPr>
      <w:r>
        <w:rPr>
          <w:rFonts w:ascii="Arial" w:cs="Arial" w:eastAsia="Arial" w:hAnsi="Arial"/>
          <w:b/>
          <w:bCs/>
          <w:color w:val="1F4E79"/>
          <w:sz w:val="28"/>
          <w:szCs w:val="28"/>
        </w:rPr>
        <w:t xml:space="preserve">7. Software y referencias clave</w:t>
      </w:r>
    </w:p>
    <w:p>
      <w:pPr>
        <w:pStyle w:val="Heading2"/>
        <w:spacing w:after="80" w:before="240"/>
      </w:pPr>
      <w:r>
        <w:rPr>
          <w:rFonts w:ascii="Arial" w:cs="Arial" w:eastAsia="Arial" w:hAnsi="Arial"/>
          <w:b/>
          <w:bCs/>
          <w:color w:val="2E75B6"/>
          <w:sz w:val="24"/>
          <w:szCs w:val="24"/>
        </w:rPr>
        <w:t xml:space="preserve">Software</w:t>
      </w:r>
    </w:p>
    <w:p>
      <w:pPr>
        <w:pStyle w:val="ListParagraph"/>
        <w:numPr>
          <w:ilvl w:val="0"/>
          <w:numId w:val="2"/>
        </w:numPr>
        <w:spacing w:after="40" w:before="40"/>
      </w:pPr>
      <w:r>
        <w:rPr>
          <w:rFonts w:ascii="Arial" w:cs="Arial" w:eastAsia="Arial" w:hAnsi="Arial"/>
          <w:sz w:val="20"/>
          <w:szCs w:val="20"/>
        </w:rPr>
        <w:t xml:space="preserve">R ≥ 4.3: paquetes sfaR (fronteras univariadas), maxLik (sistema bivariado), rstan (estimación bayesiana)</w:t>
      </w:r>
    </w:p>
    <w:p>
      <w:pPr>
        <w:pStyle w:val="ListParagraph"/>
        <w:numPr>
          <w:ilvl w:val="0"/>
          <w:numId w:val="2"/>
        </w:numPr>
        <w:spacing w:after="40" w:before="40"/>
      </w:pPr>
      <w:r>
        <w:rPr>
          <w:rFonts w:ascii="Arial" w:cs="Arial" w:eastAsia="Arial" w:hAnsi="Arial"/>
          <w:sz w:val="20"/>
          <w:szCs w:val="20"/>
        </w:rPr>
        <w:t xml:space="preserve">Stata: sfpanel, sfcross (alternativa para revisores que prefieran Stata)</w:t>
      </w:r>
    </w:p>
    <w:p>
      <w:pPr>
        <w:spacing w:after="80" w:before="80"/>
      </w:pPr>
      <w:r>
        <w:t xml:space="preserve"/>
      </w:r>
    </w:p>
    <w:p>
      <w:pPr>
        <w:pStyle w:val="Heading2"/>
        <w:spacing w:after="80" w:before="240"/>
      </w:pPr>
      <w:r>
        <w:rPr>
          <w:rFonts w:ascii="Arial" w:cs="Arial" w:eastAsia="Arial" w:hAnsi="Arial"/>
          <w:b/>
          <w:bCs/>
          <w:color w:val="2E75B6"/>
          <w:sz w:val="24"/>
          <w:szCs w:val="24"/>
        </w:rPr>
        <w:t xml:space="preserve">Referencias metodológicas</w:t>
      </w:r>
    </w:p>
    <w:p>
      <w:pPr>
        <w:pStyle w:val="ListParagraph"/>
        <w:numPr>
          <w:ilvl w:val="0"/>
          <w:numId w:val="2"/>
        </w:numPr>
        <w:spacing w:after="40" w:before="40"/>
      </w:pPr>
      <w:r>
        <w:rPr>
          <w:rFonts w:ascii="Arial" w:cs="Arial" w:eastAsia="Arial" w:hAnsi="Arial"/>
          <w:sz w:val="20"/>
          <w:szCs w:val="20"/>
        </w:rPr>
        <w:t xml:space="preserve">Battese &amp; Coelli (1995): modelo de panel SFA con determinantes de ineficiencia. Journal of Productivity Analysis.</w:t>
      </w:r>
    </w:p>
    <w:p>
      <w:pPr>
        <w:pStyle w:val="ListParagraph"/>
        <w:numPr>
          <w:ilvl w:val="0"/>
          <w:numId w:val="2"/>
        </w:numPr>
        <w:spacing w:after="40" w:before="40"/>
      </w:pPr>
      <w:r>
        <w:rPr>
          <w:rFonts w:ascii="Arial" w:cs="Arial" w:eastAsia="Arial" w:hAnsi="Arial"/>
          <w:sz w:val="20"/>
          <w:szCs w:val="20"/>
        </w:rPr>
        <w:t xml:space="preserve">Wang &amp; Schmidt (2002): heterogeneidad en la varianza de la ineficiencia. Journal of Productivity Analysis.</w:t>
      </w:r>
    </w:p>
    <w:p>
      <w:pPr>
        <w:pStyle w:val="ListParagraph"/>
        <w:numPr>
          <w:ilvl w:val="0"/>
          <w:numId w:val="2"/>
        </w:numPr>
        <w:spacing w:after="40" w:before="40"/>
      </w:pPr>
      <w:r>
        <w:rPr>
          <w:rFonts w:ascii="Arial" w:cs="Arial" w:eastAsia="Arial" w:hAnsi="Arial"/>
          <w:sz w:val="20"/>
          <w:szCs w:val="20"/>
        </w:rPr>
        <w:t xml:space="preserve">Kumbhakar (1997): sistema de fronteras con ineficiencias correlacionadas. Journal of Econometrics.</w:t>
      </w:r>
    </w:p>
    <w:p>
      <w:pPr>
        <w:pStyle w:val="ListParagraph"/>
        <w:numPr>
          <w:ilvl w:val="0"/>
          <w:numId w:val="2"/>
        </w:numPr>
        <w:spacing w:after="40" w:before="40"/>
      </w:pPr>
      <w:r>
        <w:rPr>
          <w:rFonts w:ascii="Arial" w:cs="Arial" w:eastAsia="Arial" w:hAnsi="Arial"/>
          <w:sz w:val="20"/>
          <w:szCs w:val="20"/>
        </w:rPr>
        <w:t xml:space="preserve">Coelli et al. (2005): A Guide to FRONTIER and DEA Software. Springer. (referencia estándar del campo)</w:t>
      </w:r>
    </w:p>
    <w:p>
      <w:pPr>
        <w:pStyle w:val="ListParagraph"/>
        <w:numPr>
          <w:ilvl w:val="0"/>
          <w:numId w:val="2"/>
        </w:numPr>
        <w:spacing w:after="40" w:before="40"/>
      </w:pPr>
      <w:r>
        <w:rPr>
          <w:rFonts w:ascii="Arial" w:cs="Arial" w:eastAsia="Arial" w:hAnsi="Arial"/>
          <w:sz w:val="20"/>
          <w:szCs w:val="20"/>
        </w:rPr>
        <w:t xml:space="preserve">Puig-Junoy &amp; Dalmau (2000): eficiencia técnica hospitalaria en España con SFA. Investigaciones Económicas. (referencia de aplicación al caso español)</w:t>
      </w:r>
    </w:p>
    <w:p>
      <w:pPr>
        <w:spacing w:after="80" w:before="80"/>
      </w:pPr>
      <w:r>
        <w:t xml:space="preserve"/>
      </w:r>
    </w:p>
    <w:sectPr>
      <w:pgSz w:w="11906" w:h="16838" w:orient="portrait"/>
      <w:pgMar w:top="1134" w:right="1134" w:bottom="1134" w:left="1134"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2026-03-11T12:00:32.704Z</dcterms:created>
  <dcterms:modified xsi:type="dcterms:W3CDTF">2026-03-11T12:00:32.706Z</dcterms:modified>
</cp:coreProperties>
</file>

<file path=docProps/custom.xml><?xml version="1.0" encoding="utf-8"?>
<Properties xmlns="http://schemas.openxmlformats.org/officeDocument/2006/custom-properties" xmlns:vt="http://schemas.openxmlformats.org/officeDocument/2006/docPropsVTypes"/>
</file>