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D9DDA" w14:textId="77777777" w:rsidR="00E320D9" w:rsidRDefault="00E320D9">
      <w:pPr>
        <w:spacing w:after="240"/>
      </w:pPr>
    </w:p>
    <w:p w14:paraId="70D4E65B" w14:textId="77777777" w:rsidR="00E320D9" w:rsidRDefault="00E320D9">
      <w:pPr>
        <w:pBdr>
          <w:bottom w:val="single" w:sz="6" w:space="1" w:color="1F4E79"/>
        </w:pBdr>
        <w:spacing w:after="240"/>
        <w:jc w:val="center"/>
      </w:pPr>
    </w:p>
    <w:p w14:paraId="3296176A" w14:textId="77777777" w:rsidR="00E320D9" w:rsidRDefault="00E320D9">
      <w:pPr>
        <w:spacing w:after="80"/>
      </w:pPr>
    </w:p>
    <w:p w14:paraId="430D012B" w14:textId="77777777" w:rsidR="00E320D9" w:rsidRDefault="00000000">
      <w:pPr>
        <w:spacing w:after="200"/>
        <w:jc w:val="center"/>
      </w:pPr>
      <w:r>
        <w:rPr>
          <w:b/>
          <w:bCs/>
          <w:color w:val="1F4E79"/>
          <w:sz w:val="40"/>
          <w:szCs w:val="40"/>
        </w:rPr>
        <w:t>EFICIENCIA HOSPITALARIA, ESTRUCTURA ORGANIZATIVA Y TEORÍA DE AGENCIA</w:t>
      </w:r>
    </w:p>
    <w:p w14:paraId="64F2A948" w14:textId="77777777" w:rsidR="00E320D9" w:rsidRDefault="00000000">
      <w:pPr>
        <w:spacing w:after="160"/>
        <w:jc w:val="center"/>
      </w:pPr>
      <w:r>
        <w:rPr>
          <w:i/>
          <w:iCs/>
          <w:color w:val="595959"/>
          <w:sz w:val="28"/>
          <w:szCs w:val="28"/>
        </w:rPr>
        <w:t>Un análisis de frontera estocástica del sistema hospitalario español</w:t>
      </w:r>
    </w:p>
    <w:p w14:paraId="4C55271E" w14:textId="77777777" w:rsidR="00E320D9" w:rsidRDefault="00E320D9">
      <w:pPr>
        <w:spacing w:after="160"/>
      </w:pPr>
    </w:p>
    <w:p w14:paraId="79CA7C51" w14:textId="77777777" w:rsidR="00E320D9" w:rsidRDefault="00000000">
      <w:pPr>
        <w:spacing w:after="80"/>
        <w:jc w:val="center"/>
      </w:pPr>
      <w:r>
        <w:rPr>
          <w:b/>
          <w:bCs/>
          <w:sz w:val="24"/>
          <w:szCs w:val="24"/>
        </w:rPr>
        <w:t>José María Elena Izquierdo</w:t>
      </w:r>
    </w:p>
    <w:p w14:paraId="68102822" w14:textId="77777777" w:rsidR="00E320D9" w:rsidRDefault="00000000">
      <w:pPr>
        <w:spacing w:after="80"/>
        <w:jc w:val="center"/>
      </w:pPr>
      <w:r>
        <w:rPr>
          <w:color w:val="595959"/>
        </w:rPr>
        <w:t>Departamento de Economía Aplicada · Universidad de Salamanca</w:t>
      </w:r>
    </w:p>
    <w:p w14:paraId="4EE0922B" w14:textId="77777777" w:rsidR="00E320D9" w:rsidRDefault="00000000">
      <w:pPr>
        <w:spacing w:after="480"/>
        <w:jc w:val="center"/>
      </w:pPr>
      <w:r>
        <w:rPr>
          <w:color w:val="595959"/>
        </w:rPr>
        <w:t>Marzo 2026</w:t>
      </w:r>
    </w:p>
    <w:p w14:paraId="18545217" w14:textId="77777777" w:rsidR="00E320D9" w:rsidRDefault="00E320D9">
      <w:pPr>
        <w:spacing w:after="160"/>
      </w:pPr>
    </w:p>
    <w:p w14:paraId="75DE075B" w14:textId="77777777" w:rsidR="00E320D9" w:rsidRDefault="00000000">
      <w:pPr>
        <w:spacing w:after="80"/>
        <w:jc w:val="center"/>
      </w:pPr>
      <w:r>
        <w:rPr>
          <w:i/>
          <w:iCs/>
          <w:color w:val="595959"/>
          <w:sz w:val="18"/>
          <w:szCs w:val="18"/>
        </w:rPr>
        <w:t>Resumen ejecutivo · ca. 10 páginas</w:t>
      </w:r>
    </w:p>
    <w:p w14:paraId="61CD2771" w14:textId="77777777" w:rsidR="00E320D9" w:rsidRDefault="00000000">
      <w:r>
        <w:br w:type="page"/>
      </w:r>
    </w:p>
    <w:p w14:paraId="166EFDC8" w14:textId="77777777" w:rsidR="00E320D9" w:rsidRDefault="00000000">
      <w:pPr>
        <w:pStyle w:val="Ttulo1"/>
      </w:pPr>
      <w:r>
        <w:lastRenderedPageBreak/>
        <w:t>1. Objetivo y motivación</w:t>
      </w:r>
    </w:p>
    <w:p w14:paraId="3B0AB26E" w14:textId="124F4C7B" w:rsidR="00E320D9" w:rsidRDefault="00000000">
      <w:pPr>
        <w:spacing w:before="80" w:after="80" w:line="276" w:lineRule="auto"/>
        <w:jc w:val="both"/>
      </w:pPr>
      <w:r>
        <w:t xml:space="preserve">Esta tesis analiza empíricamente cómo la estructura organizativa de los hospitales </w:t>
      </w:r>
      <w:r w:rsidR="002E4C4A">
        <w:t>(</w:t>
      </w:r>
      <w:r>
        <w:t>centralizada frente a descentralizada</w:t>
      </w:r>
      <w:r w:rsidR="002E4C4A">
        <w:t xml:space="preserve">) </w:t>
      </w:r>
      <w:r>
        <w:t>afecta a la eficiencia técnica en dos dimensiones diferenciadas del output hospitalario: la cantidad de actividad (volumen de altas ponderadas por case-</w:t>
      </w:r>
      <w:proofErr w:type="spellStart"/>
      <w:r>
        <w:t>mix</w:t>
      </w:r>
      <w:proofErr w:type="spellEnd"/>
      <w:r>
        <w:t>) y la intensidad diagnóstico-terapéutica por episodio. El punto de partida es un modelo de agencia multitarea con derivación formal que genera predicciones falsificables y asimétricas sobre ambas dimensiones. La contribución central es contrastar esas predicciones con datos de panel del sistema hospitalario español (2010–2023) mediante análisis de frontera estocástica.</w:t>
      </w:r>
    </w:p>
    <w:p w14:paraId="246BF876" w14:textId="77777777" w:rsidR="00E320D9" w:rsidRDefault="00E320D9">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320D9" w14:paraId="4E79348C" w14:textId="77777777">
        <w:tblPrEx>
          <w:tblCellMar>
            <w:top w:w="0" w:type="dxa"/>
            <w:bottom w:w="0" w:type="dxa"/>
          </w:tblCellMar>
        </w:tblPrEx>
        <w:tc>
          <w:tcPr>
            <w:tcW w:w="9200" w:type="dxa"/>
            <w:tcBorders>
              <w:top w:val="single" w:sz="4" w:space="0" w:color="1F4E79"/>
              <w:left w:val="thick" w:sz="12" w:space="0" w:color="1F4E79"/>
              <w:bottom w:val="single" w:sz="4" w:space="0" w:color="1F4E79"/>
              <w:right w:val="single" w:sz="4" w:space="0" w:color="1F4E79"/>
            </w:tcBorders>
            <w:shd w:val="clear" w:color="auto" w:fill="EBF3FB"/>
            <w:tcMar>
              <w:top w:w="120" w:type="dxa"/>
              <w:left w:w="200" w:type="dxa"/>
              <w:bottom w:w="120" w:type="dxa"/>
              <w:right w:w="120" w:type="dxa"/>
            </w:tcMar>
          </w:tcPr>
          <w:p w14:paraId="5D2779D1" w14:textId="77777777" w:rsidR="00E320D9" w:rsidRDefault="00000000">
            <w:pPr>
              <w:jc w:val="both"/>
            </w:pPr>
            <w:r>
              <w:rPr>
                <w:i/>
                <w:iCs/>
                <w:color w:val="1F4E79"/>
                <w:sz w:val="20"/>
                <w:szCs w:val="20"/>
              </w:rPr>
              <w:t xml:space="preserve">Pregunta de investigación: ¿Producen los hospitales descentralizados (concesiones, fundaciones, privados concertados) mayor eficiencia en </w:t>
            </w:r>
            <w:proofErr w:type="gramStart"/>
            <w:r>
              <w:rPr>
                <w:i/>
                <w:iCs/>
                <w:color w:val="1F4E79"/>
                <w:sz w:val="20"/>
                <w:szCs w:val="20"/>
              </w:rPr>
              <w:t>cantidad</w:t>
            </w:r>
            <w:proofErr w:type="gramEnd"/>
            <w:r>
              <w:rPr>
                <w:i/>
                <w:iCs/>
                <w:color w:val="1F4E79"/>
                <w:sz w:val="20"/>
                <w:szCs w:val="20"/>
              </w:rPr>
              <w:t xml:space="preserve"> pero menor eficiencia en intensidad que los hospitales públicos del SNS? ¿Y depende esa asimetría del tipo de pago y del grado de complementariedad entre las tareas del médico?</w:t>
            </w:r>
          </w:p>
        </w:tc>
      </w:tr>
    </w:tbl>
    <w:p w14:paraId="1AE1AEBC" w14:textId="77777777" w:rsidR="00E320D9" w:rsidRDefault="00E320D9">
      <w:pPr>
        <w:spacing w:after="80"/>
      </w:pPr>
    </w:p>
    <w:p w14:paraId="5EF92DE6" w14:textId="77777777" w:rsidR="00E320D9" w:rsidRDefault="00000000">
      <w:pPr>
        <w:spacing w:before="80" w:after="80" w:line="276" w:lineRule="auto"/>
        <w:jc w:val="both"/>
      </w:pPr>
      <w:r>
        <w:t>La motivación es doble. Teóricamente, la literatura de agencia multitarea (Holmström y Milgrom, 1991) predice que los incentivos sobre tareas medibles desplazan esfuerzo desde las tareas menos verificables, pero esta predicción no ha sido contrastada empíricamente en el sector hospitalario con un diseño de identificación riguroso. Empíricamente, el sistema hospitalario español ofrece una variación institucional relevante: conviven hospitales públicos integrados del SNS con concesiones administrativas (modelo Alzira), fundaciones públicas y hospitales privados concertados, con formas de pago distintas y distintos grados de autonomía en el diseño de contratos internos.</w:t>
      </w:r>
    </w:p>
    <w:p w14:paraId="1862B4F6" w14:textId="77777777" w:rsidR="00E320D9" w:rsidRDefault="00000000">
      <w:pPr>
        <w:pStyle w:val="Ttulo1"/>
      </w:pPr>
      <w:r>
        <w:t>2. El modelo teórico de agencia multitarea</w:t>
      </w:r>
    </w:p>
    <w:p w14:paraId="1DC50421" w14:textId="77777777" w:rsidR="00E320D9" w:rsidRDefault="00000000">
      <w:pPr>
        <w:pStyle w:val="Ttulo2"/>
      </w:pPr>
      <w:r>
        <w:t>2.1 Estructura del modelo</w:t>
      </w:r>
    </w:p>
    <w:p w14:paraId="2A3C39C3" w14:textId="77777777" w:rsidR="00E320D9" w:rsidRDefault="00000000">
      <w:pPr>
        <w:spacing w:before="80" w:after="80" w:line="276" w:lineRule="auto"/>
        <w:jc w:val="both"/>
      </w:pPr>
      <w:r>
        <w:t>El modelo describe un juego de tres agentes: un financiador público (principal), el hospital (agente 1) y el médico (agente 2). Los tres agentes producen conjuntamente dos outputs con tecnologías de producción asimétricas:</w:t>
      </w:r>
    </w:p>
    <w:p w14:paraId="6380A429" w14:textId="77777777" w:rsidR="00E320D9" w:rsidRDefault="00E320D9"/>
    <w:p w14:paraId="5926AD2F" w14:textId="77777777" w:rsidR="00E320D9" w:rsidRDefault="00000000">
      <w:pPr>
        <w:pStyle w:val="Prrafodelista"/>
        <w:numPr>
          <w:ilvl w:val="0"/>
          <w:numId w:val="2"/>
        </w:numPr>
        <w:spacing w:before="60" w:after="60" w:line="264" w:lineRule="auto"/>
        <w:jc w:val="both"/>
      </w:pPr>
      <w:r>
        <w:rPr>
          <w:b/>
          <w:bCs/>
        </w:rPr>
        <w:t xml:space="preserve">q (cantidad): </w:t>
      </w:r>
      <w:r>
        <w:t>número de altas ponderadas por case-</w:t>
      </w:r>
      <w:proofErr w:type="spellStart"/>
      <w:r>
        <w:t>mix</w:t>
      </w:r>
      <w:proofErr w:type="spellEnd"/>
      <w:r>
        <w:t>. Es el resultado del esfuerzo conjunto del hospital (a) y del médico (t₁), más un shock aleatorio: q = a + t₁ + ε₁.</w:t>
      </w:r>
    </w:p>
    <w:p w14:paraId="3BCEBA51" w14:textId="77777777" w:rsidR="00E320D9" w:rsidRDefault="00000000">
      <w:pPr>
        <w:pStyle w:val="Prrafodelista"/>
        <w:numPr>
          <w:ilvl w:val="0"/>
          <w:numId w:val="2"/>
        </w:numPr>
        <w:spacing w:before="60" w:after="60" w:line="264" w:lineRule="auto"/>
        <w:jc w:val="both"/>
      </w:pPr>
      <w:r>
        <w:rPr>
          <w:b/>
          <w:bCs/>
        </w:rPr>
        <w:t xml:space="preserve">i (intensidad): </w:t>
      </w:r>
      <w:r>
        <w:t>nivel de recursos diagnóstico-terapéuticos aplicados por episodio. Depende exclusivamente del esfuerzo del médico (t₂): i = t₂ + ε₂.</w:t>
      </w:r>
    </w:p>
    <w:p w14:paraId="04CE91E4" w14:textId="77777777" w:rsidR="00E320D9" w:rsidRDefault="00E320D9">
      <w:pPr>
        <w:spacing w:after="80"/>
      </w:pPr>
    </w:p>
    <w:p w14:paraId="03BF90DA" w14:textId="77777777" w:rsidR="00E320D9" w:rsidRDefault="00000000">
      <w:pPr>
        <w:spacing w:before="80" w:after="80" w:line="276" w:lineRule="auto"/>
        <w:jc w:val="both"/>
      </w:pPr>
      <w:r>
        <w:t>Esta asimetría en la producción es el núcleo estructural del modelo. El hospital controla la capacidad instalada y el flujo de pacientes; el médico es el único agente con conocimiento privado sobre la idoneidad y la intensidad del tratamiento. Si ambos outputs fueran producidos por los mismos agentes con los mismos incentivos, las predicciones serían simétricas y no habría hipótesis falsificable sobre el efecto diferencial de la estructura organizativa.</w:t>
      </w:r>
    </w:p>
    <w:p w14:paraId="6724B770" w14:textId="77777777" w:rsidR="00E320D9" w:rsidRDefault="00000000">
      <w:pPr>
        <w:spacing w:before="80" w:after="80" w:line="276" w:lineRule="auto"/>
        <w:jc w:val="both"/>
      </w:pPr>
      <w:r>
        <w:t>Los shocks aleatorios ε₁ y ε₂ se distribuyen normalmente con varianzas σ₁² y σ₂² respectivamente. El parámetro central del modelo es ψ₁₂, que mide la complementariedad o sustitución entre las dos tareas del médico: si ψ₁₂ &gt; 0, las tareas son sustitutas (más tiempo dedicado a ver pacientes reduce la intensidad por paciente, caso típico de servicios médicos no quirúrgicos); si ψ₁₂ &lt; 0, son complementarias (el acto de intervenir genera per se mayor intensidad, caso típico de servicios quirúrgicos).</w:t>
      </w:r>
    </w:p>
    <w:p w14:paraId="069E1F07" w14:textId="77777777" w:rsidR="00E320D9" w:rsidRDefault="00000000">
      <w:pPr>
        <w:pStyle w:val="Ttulo2"/>
      </w:pPr>
      <w:r>
        <w:lastRenderedPageBreak/>
        <w:t>2.2 Estructuras organizativas y contratos óptimos</w:t>
      </w:r>
    </w:p>
    <w:p w14:paraId="7B191320" w14:textId="77777777" w:rsidR="00E320D9" w:rsidRDefault="00000000">
      <w:pPr>
        <w:spacing w:before="80" w:after="80" w:line="276" w:lineRule="auto"/>
        <w:jc w:val="both"/>
      </w:pPr>
      <w:r>
        <w:t>El modelo caracteriza dos estructuras organizativas que difieren en la arquitectura contractual:</w:t>
      </w:r>
    </w:p>
    <w:p w14:paraId="0BFFACB0" w14:textId="77777777" w:rsidR="00E320D9" w:rsidRDefault="00E320D9"/>
    <w:p w14:paraId="6A908B5D" w14:textId="77777777" w:rsidR="00E320D9" w:rsidRDefault="00000000">
      <w:pPr>
        <w:pStyle w:val="Prrafodelista"/>
        <w:numPr>
          <w:ilvl w:val="0"/>
          <w:numId w:val="2"/>
        </w:numPr>
        <w:spacing w:before="60" w:after="60" w:line="264" w:lineRule="auto"/>
        <w:jc w:val="both"/>
      </w:pPr>
      <w:r>
        <w:rPr>
          <w:b/>
          <w:bCs/>
        </w:rPr>
        <w:t xml:space="preserve">Centralizada (hospitales SNS): </w:t>
      </w:r>
      <w:r>
        <w:t>el financiador contrata simultáneamente con el hospital y con el médico. El contrato médico óptimo incluye pagos variables sobre cantidad (B^C) e intensidad (D^C), cuyos valores dependen de ψ₁₂, σ₁² y σ₂² y de los coeficientes de aversión al riesgo.</w:t>
      </w:r>
    </w:p>
    <w:p w14:paraId="463F6E2A" w14:textId="77777777" w:rsidR="00E320D9" w:rsidRDefault="00000000">
      <w:pPr>
        <w:pStyle w:val="Prrafodelista"/>
        <w:numPr>
          <w:ilvl w:val="0"/>
          <w:numId w:val="2"/>
        </w:numPr>
        <w:spacing w:before="60" w:after="60" w:line="264" w:lineRule="auto"/>
        <w:jc w:val="both"/>
      </w:pPr>
      <w:r>
        <w:rPr>
          <w:b/>
          <w:bCs/>
        </w:rPr>
        <w:t xml:space="preserve">Descentralizada (concesiones, fundaciones, privados concertados): </w:t>
      </w:r>
      <w:r>
        <w:t xml:space="preserve">el financiador contrata solo con el hospital para niveles de q e i, y es el hospital quien diseña autónomamente el contrato con el médico. El hospital internaliza el coste del diseño del contrato interno, lo que genera incentivos de mayor potencia sobre </w:t>
      </w:r>
      <w:proofErr w:type="gramStart"/>
      <w:r>
        <w:t>cantidad</w:t>
      </w:r>
      <w:proofErr w:type="gramEnd"/>
      <w:r>
        <w:t xml:space="preserve"> pero de menor potencia sobre intensidad cuando las tareas son sustitutas.</w:t>
      </w:r>
    </w:p>
    <w:p w14:paraId="0A721302" w14:textId="77777777" w:rsidR="00E320D9" w:rsidRDefault="00E320D9">
      <w:pPr>
        <w:spacing w:after="80"/>
      </w:pPr>
    </w:p>
    <w:p w14:paraId="554FEDB8" w14:textId="64C65297" w:rsidR="00E320D9" w:rsidRDefault="00000000">
      <w:pPr>
        <w:spacing w:before="80" w:after="80" w:line="276" w:lineRule="auto"/>
        <w:jc w:val="both"/>
      </w:pPr>
      <w:r>
        <w:t xml:space="preserve">Un resultado central del modelo —denominado potencia </w:t>
      </w:r>
      <w:r w:rsidR="002E4C4A">
        <w:t xml:space="preserve">de incentivos </w:t>
      </w:r>
      <w:r>
        <w:t>secuencialmente inducida— es que los incentivos del hospital dependen de ψ₁₂ en la estructura descentralizada pero no en la centralizada: cuando las tareas del médico se aproximan a la sustitución perfecta, el financiador reduce los incentivos por cantidad al hospital porque anticipa el efecto de desplazamiento de esfuerzo sobre la intensidad médica.</w:t>
      </w:r>
    </w:p>
    <w:p w14:paraId="765F9C4F" w14:textId="77777777" w:rsidR="00E320D9" w:rsidRDefault="00000000">
      <w:pPr>
        <w:spacing w:before="80" w:after="80" w:line="276" w:lineRule="auto"/>
        <w:jc w:val="both"/>
      </w:pPr>
      <w:r>
        <w:t>Las simulaciones numéricas del modelo (Anexo A de la tesis) muestran que el resultado cualitativo es robusto a la variación de ψ₁₂ en todo el espectro de complementariedad a sustitución, y a distintos niveles de ruido en la medición de los outputs (σ₁, σ₂). La descentralización mejora consistentemente el desempeño en cantidad excepto para valores muy negativos de ψ₁₂ (complementariedad extrema), y deteriora el desempeño en intensidad cuando las tareas son suficientemente sustitutas.</w:t>
      </w:r>
    </w:p>
    <w:p w14:paraId="4CFC7530" w14:textId="77777777" w:rsidR="00E320D9" w:rsidRDefault="00000000">
      <w:pPr>
        <w:pStyle w:val="Ttulo2"/>
      </w:pPr>
      <w:r>
        <w:t>2.3 Predicciones contrastables</w:t>
      </w:r>
    </w:p>
    <w:p w14:paraId="0C28A143" w14:textId="77777777" w:rsidR="00E320D9" w:rsidRDefault="00000000">
      <w:pPr>
        <w:spacing w:before="80" w:after="80" w:line="276" w:lineRule="auto"/>
        <w:jc w:val="both"/>
      </w:pPr>
      <w:r>
        <w:t>Del modelo se derivan cinco predicciones empíricas con anclaje directo en los parámetros de la ecuación de ineficiencia:</w:t>
      </w:r>
    </w:p>
    <w:p w14:paraId="0DBF2D42" w14:textId="77777777" w:rsidR="00E320D9" w:rsidRDefault="00E320D9">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1"/>
        <w:gridCol w:w="6129"/>
        <w:gridCol w:w="2380"/>
      </w:tblGrid>
      <w:tr w:rsidR="00E320D9" w14:paraId="75052489" w14:textId="77777777">
        <w:tblPrEx>
          <w:tblCellMar>
            <w:top w:w="0" w:type="dxa"/>
            <w:bottom w:w="0" w:type="dxa"/>
          </w:tblCellMar>
        </w:tblPrEx>
        <w:trPr>
          <w:tblHeader/>
        </w:trPr>
        <w:tc>
          <w:tcPr>
            <w:tcW w:w="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A37ED01" w14:textId="77777777" w:rsidR="00E320D9" w:rsidRDefault="00000000">
            <w:pPr>
              <w:jc w:val="center"/>
            </w:pPr>
            <w:proofErr w:type="spellStart"/>
            <w:r>
              <w:rPr>
                <w:b/>
                <w:bCs/>
                <w:color w:val="FFFFFF"/>
                <w:sz w:val="18"/>
                <w:szCs w:val="18"/>
              </w:rPr>
              <w:t>Pred</w:t>
            </w:r>
            <w:proofErr w:type="spellEnd"/>
            <w:r>
              <w:rPr>
                <w:b/>
                <w:bCs/>
                <w:color w:val="FFFFFF"/>
                <w:sz w:val="18"/>
                <w:szCs w:val="18"/>
              </w:rPr>
              <w:t>.</w:t>
            </w:r>
          </w:p>
        </w:tc>
        <w:tc>
          <w:tcPr>
            <w:tcW w:w="6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E8C29C3" w14:textId="77777777" w:rsidR="00E320D9" w:rsidRDefault="00000000">
            <w:pPr>
              <w:jc w:val="center"/>
            </w:pPr>
            <w:r>
              <w:rPr>
                <w:b/>
                <w:bCs/>
                <w:color w:val="FFFFFF"/>
                <w:sz w:val="18"/>
                <w:szCs w:val="18"/>
              </w:rPr>
              <w:t>Descripción</w:t>
            </w:r>
          </w:p>
        </w:tc>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22AF4FB" w14:textId="77777777" w:rsidR="00E320D9" w:rsidRDefault="00000000">
            <w:pPr>
              <w:jc w:val="center"/>
            </w:pPr>
            <w:r>
              <w:rPr>
                <w:b/>
                <w:bCs/>
                <w:color w:val="FFFFFF"/>
                <w:sz w:val="18"/>
                <w:szCs w:val="18"/>
              </w:rPr>
              <w:t>Parámetro / Signo</w:t>
            </w:r>
          </w:p>
        </w:tc>
      </w:tr>
      <w:tr w:rsidR="00E320D9" w14:paraId="69C8AAE7"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1579693" w14:textId="77777777" w:rsidR="00E320D9" w:rsidRDefault="00000000">
            <w:r>
              <w:rPr>
                <w:b/>
                <w:bCs/>
                <w:sz w:val="18"/>
                <w:szCs w:val="18"/>
              </w:rPr>
              <w:t>P1</w:t>
            </w:r>
          </w:p>
        </w:tc>
        <w:tc>
          <w:tcPr>
            <w:tcW w:w="6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8387A83" w14:textId="77777777" w:rsidR="00E320D9" w:rsidRDefault="00000000">
            <w:r>
              <w:rPr>
                <w:sz w:val="18"/>
                <w:szCs w:val="18"/>
              </w:rPr>
              <w:t>Descentralización reduce ineficiencia en cantidad (q)</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9C0F01F" w14:textId="77777777" w:rsidR="00E320D9" w:rsidRDefault="00000000">
            <w:r>
              <w:rPr>
                <w:b/>
                <w:bCs/>
                <w:sz w:val="18"/>
                <w:szCs w:val="18"/>
              </w:rPr>
              <w:t>α₁ &lt; 0</w:t>
            </w:r>
          </w:p>
        </w:tc>
      </w:tr>
      <w:tr w:rsidR="00E320D9" w14:paraId="28AF9C43"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251515C" w14:textId="77777777" w:rsidR="00E320D9" w:rsidRDefault="00000000">
            <w:r>
              <w:rPr>
                <w:b/>
                <w:bCs/>
                <w:sz w:val="18"/>
                <w:szCs w:val="18"/>
              </w:rPr>
              <w:t>P2</w:t>
            </w:r>
          </w:p>
        </w:tc>
        <w:tc>
          <w:tcPr>
            <w:tcW w:w="6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4AB106A" w14:textId="77777777" w:rsidR="00E320D9" w:rsidRDefault="00000000">
            <w:r>
              <w:rPr>
                <w:sz w:val="18"/>
                <w:szCs w:val="18"/>
              </w:rPr>
              <w:t>Descentralización aumenta ineficiencia en intensidad (i)</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1A16BC2" w14:textId="77777777" w:rsidR="00E320D9" w:rsidRDefault="00000000">
            <w:r>
              <w:rPr>
                <w:b/>
                <w:bCs/>
                <w:sz w:val="18"/>
                <w:szCs w:val="18"/>
              </w:rPr>
              <w:t>δ₁ &gt; 0</w:t>
            </w:r>
          </w:p>
        </w:tc>
      </w:tr>
      <w:tr w:rsidR="00E320D9" w14:paraId="19F35D1F"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40A8550" w14:textId="77777777" w:rsidR="00E320D9" w:rsidRDefault="00000000">
            <w:r>
              <w:rPr>
                <w:b/>
                <w:bCs/>
                <w:sz w:val="18"/>
                <w:szCs w:val="18"/>
              </w:rPr>
              <w:t>P3</w:t>
            </w:r>
          </w:p>
        </w:tc>
        <w:tc>
          <w:tcPr>
            <w:tcW w:w="6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2A944A3" w14:textId="77777777" w:rsidR="00E320D9" w:rsidRDefault="00000000">
            <w:r>
              <w:rPr>
                <w:sz w:val="18"/>
                <w:szCs w:val="18"/>
              </w:rPr>
              <w:t>El mecanismo de pago tiene efectos asimétricos entre dimensiones</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2BAF91B" w14:textId="77777777" w:rsidR="00E320D9" w:rsidRDefault="00000000">
            <w:r>
              <w:rPr>
                <w:b/>
                <w:bCs/>
                <w:sz w:val="18"/>
                <w:szCs w:val="18"/>
              </w:rPr>
              <w:t>α₂ ≠ δ₂</w:t>
            </w:r>
          </w:p>
        </w:tc>
      </w:tr>
      <w:tr w:rsidR="00E320D9" w14:paraId="4BF5DD79"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8483FB6" w14:textId="77777777" w:rsidR="00E320D9" w:rsidRDefault="00000000">
            <w:r>
              <w:rPr>
                <w:b/>
                <w:bCs/>
                <w:sz w:val="18"/>
                <w:szCs w:val="18"/>
              </w:rPr>
              <w:t>P4</w:t>
            </w:r>
          </w:p>
        </w:tc>
        <w:tc>
          <w:tcPr>
            <w:tcW w:w="6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6C0ED99" w14:textId="77777777" w:rsidR="00E320D9" w:rsidRDefault="00000000">
            <w:r>
              <w:rPr>
                <w:sz w:val="18"/>
                <w:szCs w:val="18"/>
              </w:rPr>
              <w:t>ψ₁₂ modera asimétricamente el diferencial entre estructuras</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2680788" w14:textId="77777777" w:rsidR="00E320D9" w:rsidRDefault="00000000">
            <w:r>
              <w:rPr>
                <w:b/>
                <w:bCs/>
                <w:sz w:val="18"/>
                <w:szCs w:val="18"/>
              </w:rPr>
              <w:t>α₄ ≠ δ₄</w:t>
            </w:r>
          </w:p>
        </w:tc>
      </w:tr>
      <w:tr w:rsidR="00E320D9" w14:paraId="5CE34D85"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23E4878" w14:textId="77777777" w:rsidR="00E320D9" w:rsidRDefault="00000000">
            <w:r>
              <w:rPr>
                <w:b/>
                <w:bCs/>
                <w:sz w:val="18"/>
                <w:szCs w:val="18"/>
              </w:rPr>
              <w:t>P*</w:t>
            </w:r>
          </w:p>
        </w:tc>
        <w:tc>
          <w:tcPr>
            <w:tcW w:w="6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A6EF172" w14:textId="77777777" w:rsidR="00E320D9" w:rsidRDefault="00000000">
            <w:r>
              <w:rPr>
                <w:sz w:val="18"/>
                <w:szCs w:val="18"/>
              </w:rPr>
              <w:t>Contraste central: el vector completo de determinantes difiere entre dimensiones</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D3171B1" w14:textId="77777777" w:rsidR="00E320D9" w:rsidRDefault="00000000">
            <w:r>
              <w:rPr>
                <w:b/>
                <w:bCs/>
                <w:sz w:val="18"/>
                <w:szCs w:val="18"/>
              </w:rPr>
              <w:t>α ≠ δ (Wald)</w:t>
            </w:r>
          </w:p>
        </w:tc>
      </w:tr>
    </w:tbl>
    <w:p w14:paraId="1721C654" w14:textId="77777777" w:rsidR="00E320D9" w:rsidRDefault="00000000">
      <w:pPr>
        <w:spacing w:before="60" w:after="120"/>
        <w:jc w:val="center"/>
      </w:pPr>
      <w:r>
        <w:rPr>
          <w:i/>
          <w:iCs/>
          <w:color w:val="595959"/>
          <w:sz w:val="18"/>
          <w:szCs w:val="18"/>
        </w:rPr>
        <w:t>Tabla 1. Predicciones contrastables del modelo teórico. α y δ son los vectores de coeficientes de la ecuación de ineficiencia en las fronteras de cantidad e intensidad respectivamente.</w:t>
      </w:r>
    </w:p>
    <w:p w14:paraId="05C24449" w14:textId="77777777" w:rsidR="00E320D9" w:rsidRDefault="00E320D9">
      <w:pPr>
        <w:spacing w:after="80"/>
      </w:pPr>
    </w:p>
    <w:p w14:paraId="08C247BD" w14:textId="77777777" w:rsidR="00E320D9" w:rsidRDefault="00000000">
      <w:pPr>
        <w:spacing w:before="80" w:after="80" w:line="276" w:lineRule="auto"/>
        <w:jc w:val="both"/>
      </w:pPr>
      <w:r>
        <w:t xml:space="preserve">La predicción P* —el contraste central— es la que mayor exigencia estadística impone: implica que el vector completo de determinantes institucionales opera de forma cualitativamente distinta sobre las dos dimensiones del output. Un único término de ineficiencia </w:t>
      </w:r>
      <w:proofErr w:type="spellStart"/>
      <w:r>
        <w:t>u_it</w:t>
      </w:r>
      <w:proofErr w:type="spellEnd"/>
      <w:r>
        <w:t xml:space="preserve"> cancela algebraicamente los efectos opuestos de P1 y P2, haciendo imposible contrastar P* con los modelos SFA estándar de un solo output. Esta observación es la que motiva el diseño empírico en sistema de dos fronteras.</w:t>
      </w:r>
    </w:p>
    <w:p w14:paraId="2046DF60" w14:textId="77777777" w:rsidR="00E320D9" w:rsidRDefault="00000000">
      <w:pPr>
        <w:pStyle w:val="Ttulo1"/>
      </w:pPr>
      <w:r>
        <w:lastRenderedPageBreak/>
        <w:t>3. Estrategia empírica: análisis de frontera estocástica</w:t>
      </w:r>
    </w:p>
    <w:p w14:paraId="59F424D0" w14:textId="77777777" w:rsidR="00E320D9" w:rsidRDefault="00000000">
      <w:pPr>
        <w:pStyle w:val="Ttulo2"/>
      </w:pPr>
      <w:r>
        <w:t>3.1 Marco general SFA</w:t>
      </w:r>
    </w:p>
    <w:p w14:paraId="06352F96" w14:textId="77777777" w:rsidR="00E320D9" w:rsidRDefault="00000000">
      <w:pPr>
        <w:spacing w:before="80" w:after="80" w:line="276" w:lineRule="auto"/>
        <w:jc w:val="both"/>
      </w:pPr>
      <w:r>
        <w:t>El análisis de frontera estocástica descompone la desviación de cada hospital respecto a la frontera de producción en dos componentes: ruido aleatorio simétrico (</w:t>
      </w:r>
      <w:proofErr w:type="spellStart"/>
      <w:r>
        <w:t>v_it</w:t>
      </w:r>
      <w:proofErr w:type="spellEnd"/>
      <w:r>
        <w:t>) e ineficiencia técnica no negativa (</w:t>
      </w:r>
      <w:proofErr w:type="spellStart"/>
      <w:r>
        <w:t>u_it</w:t>
      </w:r>
      <w:proofErr w:type="spellEnd"/>
      <w:r>
        <w:t xml:space="preserve">). La eficiencia técnica individual se recupera mediante el estimador de esperanza condicional de Jondrow et al. (1982). Para incorporar los determinantes institucionales de la ineficiencia, se adopta la especificación de </w:t>
      </w:r>
      <w:proofErr w:type="spellStart"/>
      <w:r>
        <w:t>Battese</w:t>
      </w:r>
      <w:proofErr w:type="spellEnd"/>
      <w:r>
        <w:t xml:space="preserve"> y </w:t>
      </w:r>
      <w:proofErr w:type="spellStart"/>
      <w:r>
        <w:t>Coelli</w:t>
      </w:r>
      <w:proofErr w:type="spellEnd"/>
      <w:r>
        <w:t xml:space="preserve"> (1995), donde </w:t>
      </w:r>
      <w:proofErr w:type="spellStart"/>
      <w:r>
        <w:t>u_it</w:t>
      </w:r>
      <w:proofErr w:type="spellEnd"/>
      <w:r>
        <w:t xml:space="preserve"> sigue una distribución normal truncada en cero con media heterogénea </w:t>
      </w:r>
      <w:proofErr w:type="spellStart"/>
      <w:r>
        <w:t>μ_it</w:t>
      </w:r>
      <w:proofErr w:type="spellEnd"/>
      <w:r>
        <w:t xml:space="preserve"> = z'_</w:t>
      </w:r>
      <w:proofErr w:type="spellStart"/>
      <w:r>
        <w:t>it</w:t>
      </w:r>
      <w:proofErr w:type="spellEnd"/>
      <w:r>
        <w:t xml:space="preserve"> δ.</w:t>
      </w:r>
    </w:p>
    <w:p w14:paraId="416F2FCF" w14:textId="77777777" w:rsidR="00E320D9" w:rsidRDefault="00000000">
      <w:pPr>
        <w:spacing w:before="80" w:after="80" w:line="276" w:lineRule="auto"/>
        <w:jc w:val="both"/>
      </w:pPr>
      <w:r>
        <w:t xml:space="preserve">La frontera de producción se especifica como una función </w:t>
      </w:r>
      <w:proofErr w:type="spellStart"/>
      <w:r>
        <w:t>translog</w:t>
      </w:r>
      <w:proofErr w:type="spellEnd"/>
      <w:r>
        <w:t xml:space="preserve"> centrada en las medias muestrales, con inputs trabajo (personal médico EJC), capital físico (camas en funcionamiento), capital tecnológico (índice de equipamiento diagnóstico-terapéutico), tendencia temporal cuadrática (progreso técnico) y </w:t>
      </w:r>
      <w:proofErr w:type="spellStart"/>
      <w:r>
        <w:t>dummies</w:t>
      </w:r>
      <w:proofErr w:type="spellEnd"/>
      <w:r>
        <w:t xml:space="preserve"> de </w:t>
      </w:r>
      <w:proofErr w:type="spellStart"/>
      <w:proofErr w:type="gramStart"/>
      <w:r>
        <w:t>cluster</w:t>
      </w:r>
      <w:proofErr w:type="spellEnd"/>
      <w:proofErr w:type="gramEnd"/>
      <w:r>
        <w:t xml:space="preserve"> de complejidad hospitalaria (cinco grupos según la clasificación del Ministerio de Sanidad). La especificación </w:t>
      </w:r>
      <w:proofErr w:type="spellStart"/>
      <w:r>
        <w:t>translog</w:t>
      </w:r>
      <w:proofErr w:type="spellEnd"/>
      <w:r>
        <w:t xml:space="preserve"> es estadísticamente preferida sobre Cobb-Douglas en todos los modelos, con estadísticos LR entre 247 y 594 (p &lt; 0.001).</w:t>
      </w:r>
    </w:p>
    <w:p w14:paraId="6189F961" w14:textId="77777777" w:rsidR="00E320D9" w:rsidRDefault="00000000">
      <w:pPr>
        <w:pStyle w:val="Ttulo2"/>
      </w:pPr>
      <w:r>
        <w:t>3.2 Ecuación de ineficiencia</w:t>
      </w:r>
    </w:p>
    <w:p w14:paraId="0530EEA2" w14:textId="77777777" w:rsidR="00E320D9" w:rsidRDefault="00000000">
      <w:pPr>
        <w:spacing w:before="80" w:after="80" w:line="276" w:lineRule="auto"/>
        <w:jc w:val="both"/>
      </w:pPr>
      <w:r>
        <w:t>La media heterogénea del término de ineficiencia es la misma en los cuatro diseños:</w:t>
      </w:r>
    </w:p>
    <w:p w14:paraId="413F8203" w14:textId="77777777" w:rsidR="00E320D9" w:rsidRDefault="00E320D9"/>
    <w:p w14:paraId="3C6B79AB" w14:textId="77777777" w:rsidR="00E320D9" w:rsidRDefault="00000000">
      <w:pPr>
        <w:pStyle w:val="Prrafodelista"/>
        <w:numPr>
          <w:ilvl w:val="0"/>
          <w:numId w:val="2"/>
        </w:numPr>
        <w:spacing w:before="60" w:after="60" w:line="264" w:lineRule="auto"/>
        <w:jc w:val="both"/>
      </w:pPr>
      <w:proofErr w:type="spellStart"/>
      <w:r>
        <w:rPr>
          <w:b/>
          <w:bCs/>
        </w:rPr>
        <w:t>D^desc_it</w:t>
      </w:r>
      <w:proofErr w:type="spellEnd"/>
      <w:r>
        <w:rPr>
          <w:b/>
          <w:bCs/>
        </w:rPr>
        <w:t xml:space="preserve">: </w:t>
      </w:r>
      <w:r>
        <w:t>variable de estructura organizativa (1 = descentralizado, 0 = centralizado SNS). Sus coeficientes en las dos fronteras son los parámetros α₁ y δ₁ de P1 y P2.</w:t>
      </w:r>
    </w:p>
    <w:p w14:paraId="02276107" w14:textId="77777777" w:rsidR="00E320D9" w:rsidRDefault="00000000">
      <w:pPr>
        <w:pStyle w:val="Prrafodelista"/>
        <w:numPr>
          <w:ilvl w:val="0"/>
          <w:numId w:val="2"/>
        </w:numPr>
        <w:spacing w:before="60" w:after="60" w:line="264" w:lineRule="auto"/>
        <w:jc w:val="both"/>
      </w:pPr>
      <w:proofErr w:type="spellStart"/>
      <w:r>
        <w:rPr>
          <w:b/>
          <w:bCs/>
        </w:rPr>
        <w:t>pct^SNS_it</w:t>
      </w:r>
      <w:proofErr w:type="spellEnd"/>
      <w:r>
        <w:rPr>
          <w:b/>
          <w:bCs/>
        </w:rPr>
        <w:t xml:space="preserve">: </w:t>
      </w:r>
      <w:r>
        <w:t>proporción de altas financiadas por el SNS como proxy del mecanismo de pago. Capta P3.</w:t>
      </w:r>
    </w:p>
    <w:p w14:paraId="3BC1FD18" w14:textId="77777777" w:rsidR="00E320D9" w:rsidRDefault="00000000">
      <w:pPr>
        <w:pStyle w:val="Prrafodelista"/>
        <w:numPr>
          <w:ilvl w:val="0"/>
          <w:numId w:val="2"/>
        </w:numPr>
        <w:spacing w:before="60" w:after="60" w:line="264" w:lineRule="auto"/>
        <w:jc w:val="both"/>
      </w:pPr>
      <w:proofErr w:type="spellStart"/>
      <w:r>
        <w:rPr>
          <w:b/>
          <w:bCs/>
        </w:rPr>
        <w:t>D^desc</w:t>
      </w:r>
      <w:proofErr w:type="spellEnd"/>
      <w:r>
        <w:rPr>
          <w:b/>
          <w:bCs/>
        </w:rPr>
        <w:t xml:space="preserve"> × </w:t>
      </w:r>
      <w:proofErr w:type="spellStart"/>
      <w:r>
        <w:rPr>
          <w:b/>
          <w:bCs/>
        </w:rPr>
        <w:t>pct^SNS</w:t>
      </w:r>
      <w:proofErr w:type="spellEnd"/>
      <w:r>
        <w:rPr>
          <w:b/>
          <w:bCs/>
        </w:rPr>
        <w:t xml:space="preserve">: </w:t>
      </w:r>
      <w:r>
        <w:t>interacción estructura–pago. Capta la moderación del tipo de pago sobre el efecto de la descentralización (P3).</w:t>
      </w:r>
    </w:p>
    <w:p w14:paraId="1C175A5D" w14:textId="77777777" w:rsidR="00E320D9" w:rsidRDefault="00000000">
      <w:pPr>
        <w:pStyle w:val="Prrafodelista"/>
        <w:numPr>
          <w:ilvl w:val="0"/>
          <w:numId w:val="2"/>
        </w:numPr>
        <w:spacing w:before="60" w:after="60" w:line="264" w:lineRule="auto"/>
        <w:jc w:val="both"/>
      </w:pPr>
      <w:proofErr w:type="spellStart"/>
      <w:r>
        <w:rPr>
          <w:b/>
          <w:bCs/>
        </w:rPr>
        <w:t>ShareQ_it</w:t>
      </w:r>
      <w:proofErr w:type="spellEnd"/>
      <w:r>
        <w:rPr>
          <w:b/>
          <w:bCs/>
        </w:rPr>
        <w:t xml:space="preserve">: </w:t>
      </w:r>
      <w:r>
        <w:t xml:space="preserve">proporción de altas quirúrgicas sobre el total, </w:t>
      </w:r>
      <w:proofErr w:type="gramStart"/>
      <w:r>
        <w:t>proxy continua</w:t>
      </w:r>
      <w:proofErr w:type="gramEnd"/>
      <w:r>
        <w:t xml:space="preserve"> de ψ₁₂. Capta P4.</w:t>
      </w:r>
    </w:p>
    <w:p w14:paraId="46F267B1" w14:textId="77777777" w:rsidR="00E320D9" w:rsidRDefault="00000000">
      <w:pPr>
        <w:pStyle w:val="Prrafodelista"/>
        <w:numPr>
          <w:ilvl w:val="0"/>
          <w:numId w:val="2"/>
        </w:numPr>
        <w:spacing w:before="60" w:after="60" w:line="264" w:lineRule="auto"/>
        <w:jc w:val="both"/>
      </w:pPr>
      <w:proofErr w:type="spellStart"/>
      <w:r>
        <w:rPr>
          <w:b/>
          <w:bCs/>
        </w:rPr>
        <w:t>D^desc</w:t>
      </w:r>
      <w:proofErr w:type="spellEnd"/>
      <w:r>
        <w:rPr>
          <w:b/>
          <w:bCs/>
        </w:rPr>
        <w:t xml:space="preserve"> × </w:t>
      </w:r>
      <w:proofErr w:type="spellStart"/>
      <w:r>
        <w:rPr>
          <w:b/>
          <w:bCs/>
        </w:rPr>
        <w:t>ShareQ</w:t>
      </w:r>
      <w:proofErr w:type="spellEnd"/>
      <w:r>
        <w:rPr>
          <w:b/>
          <w:bCs/>
        </w:rPr>
        <w:t xml:space="preserve">: </w:t>
      </w:r>
      <w:r>
        <w:t>moderación de ψ₁₂ sobre el efecto diferencial entre estructuras (P4).</w:t>
      </w:r>
    </w:p>
    <w:p w14:paraId="5C80DD32" w14:textId="77777777" w:rsidR="00E320D9" w:rsidRDefault="00000000">
      <w:pPr>
        <w:pStyle w:val="Prrafodelista"/>
        <w:numPr>
          <w:ilvl w:val="0"/>
          <w:numId w:val="2"/>
        </w:numPr>
        <w:spacing w:before="60" w:after="60" w:line="264" w:lineRule="auto"/>
        <w:jc w:val="both"/>
      </w:pPr>
      <w:proofErr w:type="spellStart"/>
      <w:r>
        <w:rPr>
          <w:b/>
          <w:bCs/>
        </w:rPr>
        <w:t>Dummies</w:t>
      </w:r>
      <w:proofErr w:type="spellEnd"/>
      <w:r>
        <w:rPr>
          <w:b/>
          <w:bCs/>
        </w:rPr>
        <w:t xml:space="preserve"> de comunidad autónoma: </w:t>
      </w:r>
      <w:r>
        <w:t>absorben la heterogeneidad institucional regional no captada por las variables anteriores.</w:t>
      </w:r>
    </w:p>
    <w:p w14:paraId="56B2B695" w14:textId="77777777" w:rsidR="00E320D9" w:rsidRDefault="00E320D9">
      <w:pPr>
        <w:spacing w:after="80"/>
      </w:pPr>
    </w:p>
    <w:p w14:paraId="21134FCB" w14:textId="77777777" w:rsidR="00E320D9" w:rsidRDefault="00000000">
      <w:pPr>
        <w:pStyle w:val="Ttulo2"/>
      </w:pPr>
      <w:r>
        <w:t>3.3 Los cuatro diseños de estimación</w:t>
      </w:r>
    </w:p>
    <w:p w14:paraId="7CE8D42B" w14:textId="77777777" w:rsidR="00E320D9" w:rsidRDefault="00000000">
      <w:pPr>
        <w:spacing w:before="80" w:after="80" w:line="276" w:lineRule="auto"/>
        <w:jc w:val="both"/>
      </w:pPr>
      <w:r>
        <w:t>Se plantean cuatro diseños complementarios con roles distintos en la estructura del análisis. La razón de usar cuatro diseños y no uno solo es la triangulación: cada diseño explota una fuente de variación distinta y permite verificar que los resultados no son artefactos de la especificación:</w:t>
      </w:r>
    </w:p>
    <w:p w14:paraId="0B206305" w14:textId="77777777" w:rsidR="00E320D9" w:rsidRDefault="00E320D9">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1"/>
        <w:gridCol w:w="2943"/>
        <w:gridCol w:w="2162"/>
        <w:gridCol w:w="3524"/>
      </w:tblGrid>
      <w:tr w:rsidR="00E320D9" w14:paraId="09A6177C" w14:textId="77777777">
        <w:tblPrEx>
          <w:tblCellMar>
            <w:top w:w="0" w:type="dxa"/>
            <w:bottom w:w="0" w:type="dxa"/>
          </w:tblCellMar>
        </w:tblPrEx>
        <w:trPr>
          <w:tblHeader/>
        </w:trPr>
        <w:tc>
          <w:tcPr>
            <w:tcW w:w="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48371C8" w14:textId="77777777" w:rsidR="00E320D9" w:rsidRDefault="00000000">
            <w:pPr>
              <w:jc w:val="center"/>
            </w:pPr>
            <w:proofErr w:type="spellStart"/>
            <w:r>
              <w:rPr>
                <w:b/>
                <w:bCs/>
                <w:color w:val="FFFFFF"/>
                <w:sz w:val="18"/>
                <w:szCs w:val="18"/>
              </w:rPr>
              <w:t>Dis</w:t>
            </w:r>
            <w:proofErr w:type="spellEnd"/>
            <w:r>
              <w:rPr>
                <w:b/>
                <w:bCs/>
                <w:color w:val="FFFFFF"/>
                <w:sz w:val="18"/>
                <w:szCs w:val="18"/>
              </w:rPr>
              <w:t>.</w:t>
            </w:r>
          </w:p>
        </w:tc>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1B103FC" w14:textId="77777777" w:rsidR="00E320D9" w:rsidRDefault="00000000">
            <w:pPr>
              <w:jc w:val="center"/>
            </w:pPr>
            <w:r>
              <w:rPr>
                <w:b/>
                <w:bCs/>
                <w:color w:val="FFFFFF"/>
                <w:sz w:val="18"/>
                <w:szCs w:val="18"/>
              </w:rPr>
              <w:t>Descripción</w:t>
            </w:r>
          </w:p>
        </w:tc>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EF2BDFA" w14:textId="77777777" w:rsidR="00E320D9" w:rsidRDefault="00000000">
            <w:pPr>
              <w:jc w:val="center"/>
            </w:pPr>
            <w:r>
              <w:rPr>
                <w:b/>
                <w:bCs/>
                <w:color w:val="FFFFFF"/>
                <w:sz w:val="18"/>
                <w:szCs w:val="18"/>
              </w:rPr>
              <w:t>Hipótesis</w:t>
            </w:r>
          </w:p>
        </w:tc>
        <w:tc>
          <w:tcPr>
            <w:tcW w:w="3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16EFB29" w14:textId="77777777" w:rsidR="00E320D9" w:rsidRDefault="00000000">
            <w:pPr>
              <w:jc w:val="center"/>
            </w:pPr>
            <w:r>
              <w:rPr>
                <w:b/>
                <w:bCs/>
                <w:color w:val="FFFFFF"/>
                <w:sz w:val="18"/>
                <w:szCs w:val="18"/>
              </w:rPr>
              <w:t>Papel en el análisis</w:t>
            </w:r>
          </w:p>
        </w:tc>
      </w:tr>
      <w:tr w:rsidR="00E320D9" w14:paraId="28F19CB6"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3DF9D61" w14:textId="77777777" w:rsidR="00E320D9" w:rsidRDefault="00000000">
            <w:pPr>
              <w:jc w:val="center"/>
            </w:pPr>
            <w:r>
              <w:rPr>
                <w:sz w:val="18"/>
                <w:szCs w:val="18"/>
              </w:rPr>
              <w:t>D</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4A567F4" w14:textId="77777777" w:rsidR="00E320D9" w:rsidRDefault="00000000">
            <w:r>
              <w:rPr>
                <w:sz w:val="18"/>
                <w:szCs w:val="18"/>
              </w:rPr>
              <w:t>Función de distancia output (ODF) un único término de ineficiencia</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891F40E" w14:textId="77777777" w:rsidR="00E320D9" w:rsidRDefault="00000000">
            <w:r>
              <w:rPr>
                <w:sz w:val="18"/>
                <w:szCs w:val="18"/>
              </w:rPr>
              <w:t>P3, P4</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24C6CAA" w14:textId="77777777" w:rsidR="00E320D9" w:rsidRDefault="00000000">
            <w:r>
              <w:rPr>
                <w:sz w:val="18"/>
                <w:szCs w:val="18"/>
              </w:rPr>
              <w:t>Punto de partida metodológico</w:t>
            </w:r>
          </w:p>
        </w:tc>
      </w:tr>
      <w:tr w:rsidR="00E320D9" w14:paraId="1B57FE47"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815BB9F" w14:textId="77777777" w:rsidR="00E320D9" w:rsidRDefault="00000000">
            <w:pPr>
              <w:jc w:val="center"/>
            </w:pPr>
            <w:r>
              <w:rPr>
                <w:sz w:val="18"/>
                <w:szCs w:val="18"/>
              </w:rPr>
              <w:t>A</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4CBA3DE" w14:textId="77777777" w:rsidR="00E320D9" w:rsidRDefault="00000000">
            <w:r>
              <w:rPr>
                <w:sz w:val="18"/>
                <w:szCs w:val="18"/>
              </w:rPr>
              <w:t>Sistema de dos fronteras: cantidad total vs. intensidad diagnóstica (iₐᵢₐᵍ)</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35A6513" w14:textId="77777777" w:rsidR="00E320D9" w:rsidRDefault="00000000">
            <w:r>
              <w:rPr>
                <w:sz w:val="18"/>
                <w:szCs w:val="18"/>
              </w:rPr>
              <w:t>P1, P2, P3, P4, P*</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DE4532E" w14:textId="77777777" w:rsidR="00E320D9" w:rsidRDefault="00000000">
            <w:r>
              <w:rPr>
                <w:sz w:val="18"/>
                <w:szCs w:val="18"/>
              </w:rPr>
              <w:t>Contraste directo del modelo teórico</w:t>
            </w:r>
          </w:p>
        </w:tc>
      </w:tr>
      <w:tr w:rsidR="00E320D9" w14:paraId="60F743AA"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9C2B938" w14:textId="77777777" w:rsidR="00E320D9" w:rsidRDefault="00000000">
            <w:pPr>
              <w:jc w:val="center"/>
            </w:pPr>
            <w:r>
              <w:rPr>
                <w:sz w:val="18"/>
                <w:szCs w:val="18"/>
              </w:rPr>
              <w:t>B</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E486180" w14:textId="77777777" w:rsidR="00E320D9" w:rsidRDefault="00000000">
            <w:r>
              <w:rPr>
                <w:sz w:val="18"/>
                <w:szCs w:val="18"/>
              </w:rPr>
              <w:t>Sistema de dos fronteras: altas quirúrgicas vs. altas médicas</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9D14245" w14:textId="77777777" w:rsidR="00E320D9" w:rsidRDefault="00000000">
            <w:r>
              <w:rPr>
                <w:sz w:val="18"/>
                <w:szCs w:val="18"/>
              </w:rPr>
              <w:t>P1, P3, P4, P*</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BE81195" w14:textId="77777777" w:rsidR="00E320D9" w:rsidRDefault="00000000">
            <w:r>
              <w:rPr>
                <w:sz w:val="18"/>
                <w:szCs w:val="18"/>
              </w:rPr>
              <w:t>Contraste con proxy estructural de ψ₁₂</w:t>
            </w:r>
          </w:p>
        </w:tc>
      </w:tr>
      <w:tr w:rsidR="00E320D9" w14:paraId="217E04B3"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8EBB5FD" w14:textId="77777777" w:rsidR="00E320D9" w:rsidRDefault="00000000">
            <w:pPr>
              <w:jc w:val="center"/>
            </w:pPr>
            <w:r>
              <w:rPr>
                <w:sz w:val="18"/>
                <w:szCs w:val="18"/>
              </w:rPr>
              <w:lastRenderedPageBreak/>
              <w:t>C</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5B16D98" w14:textId="77777777" w:rsidR="00E320D9" w:rsidRDefault="00000000">
            <w:r>
              <w:rPr>
                <w:sz w:val="18"/>
                <w:szCs w:val="18"/>
              </w:rPr>
              <w:t>Panel hospital × servicio × año un único u con interacción triple</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2C65363" w14:textId="77777777" w:rsidR="00E320D9" w:rsidRDefault="00000000">
            <w:r>
              <w:rPr>
                <w:sz w:val="18"/>
                <w:szCs w:val="18"/>
              </w:rPr>
              <w:t xml:space="preserve">P4 (variación </w:t>
            </w:r>
            <w:proofErr w:type="spellStart"/>
            <w:r>
              <w:rPr>
                <w:sz w:val="18"/>
                <w:szCs w:val="18"/>
              </w:rPr>
              <w:t>intra-hospital</w:t>
            </w:r>
            <w:proofErr w:type="spellEnd"/>
            <w:r>
              <w:rPr>
                <w:sz w:val="18"/>
                <w:szCs w:val="18"/>
              </w:rPr>
              <w:t>)</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D79B768" w14:textId="77777777" w:rsidR="00E320D9" w:rsidRDefault="00000000">
            <w:r>
              <w:rPr>
                <w:sz w:val="18"/>
                <w:szCs w:val="18"/>
              </w:rPr>
              <w:t>Robustez con variación dentro del hospital</w:t>
            </w:r>
          </w:p>
        </w:tc>
      </w:tr>
    </w:tbl>
    <w:p w14:paraId="7A86FA6D" w14:textId="77777777" w:rsidR="00E320D9" w:rsidRDefault="00000000">
      <w:pPr>
        <w:spacing w:before="60" w:after="120"/>
        <w:jc w:val="center"/>
      </w:pPr>
      <w:r>
        <w:rPr>
          <w:i/>
          <w:iCs/>
          <w:color w:val="595959"/>
          <w:sz w:val="18"/>
          <w:szCs w:val="18"/>
        </w:rPr>
        <w:t>Tabla 2. Diseños de estimación, hipótesis contrastables y papel en el análisis.</w:t>
      </w:r>
    </w:p>
    <w:p w14:paraId="274218AB" w14:textId="77777777" w:rsidR="00E320D9" w:rsidRDefault="00E320D9">
      <w:pPr>
        <w:spacing w:after="80"/>
      </w:pPr>
    </w:p>
    <w:p w14:paraId="2DB90F58" w14:textId="77777777" w:rsidR="00E320D9" w:rsidRDefault="00000000">
      <w:pPr>
        <w:spacing w:before="80" w:after="80" w:line="276" w:lineRule="auto"/>
        <w:jc w:val="both"/>
      </w:pPr>
      <w:r>
        <w:t>Los Diseños A y B son los más relevantes para el contraste del modelo. El Diseño A contrasta directamente las predicciones del modelo teórico usando el índice de intensidad diagnóstica (</w:t>
      </w:r>
      <w:proofErr w:type="spellStart"/>
      <w:r>
        <w:t>i_diag</w:t>
      </w:r>
      <w:proofErr w:type="spellEnd"/>
      <w:r>
        <w:t>) como output de la frontera de intensidad. El Diseño B utiliza como criterio de separación el tipo de servicio (quirúrgico vs. médico), que es un proxy estructural de ψ₁₂ exógeno a nivel de servicio: los servicios quirúrgicos son por definición el caso canónico de complementariedad entre tareas (ψ₁₂ &lt; 0), y los médicos no quirúrgicos el caso canónico de sustitución (ψ₁₂ &gt; 0). Esta separación evita el problema de endogeneidad de un proxy de ψ₁₂ construido a nivel hospital-año.</w:t>
      </w:r>
    </w:p>
    <w:p w14:paraId="2F8E77CA" w14:textId="77777777" w:rsidR="00E320D9" w:rsidRDefault="00000000">
      <w:pPr>
        <w:spacing w:before="80" w:after="80" w:line="276" w:lineRule="auto"/>
        <w:jc w:val="both"/>
      </w:pPr>
      <w:r>
        <w:t>Los contrastes formales son: (i) test t unilateral sobre α₁ y δ₁ (predicciones P1 y P2 individualmente); (</w:t>
      </w:r>
      <w:proofErr w:type="spellStart"/>
      <w:r>
        <w:t>ii</w:t>
      </w:r>
      <w:proofErr w:type="spellEnd"/>
      <w:r>
        <w:t>) test z sobre la diferencia α₁ − δ₁ (contraste de asimetría); (</w:t>
      </w:r>
      <w:proofErr w:type="spellStart"/>
      <w:r>
        <w:t>iii</w:t>
      </w:r>
      <w:proofErr w:type="spellEnd"/>
      <w:r>
        <w:t xml:space="preserve">) test de Wald </w:t>
      </w:r>
      <w:proofErr w:type="spellStart"/>
      <w:r>
        <w:t>bootstrap</w:t>
      </w:r>
      <w:proofErr w:type="spellEnd"/>
      <w:r>
        <w:t xml:space="preserve"> con B = 4.999 repeticiones sobre el vector completo H₀: α = δ (predicción P*); (</w:t>
      </w:r>
      <w:proofErr w:type="spellStart"/>
      <w:r>
        <w:t>iv</w:t>
      </w:r>
      <w:proofErr w:type="spellEnd"/>
      <w:r>
        <w:t xml:space="preserve">) test LR </w:t>
      </w:r>
      <w:proofErr w:type="spellStart"/>
      <w:r>
        <w:t>Kodde</w:t>
      </w:r>
      <w:proofErr w:type="spellEnd"/>
      <w:r>
        <w:t xml:space="preserve">-Palm para la existencia de ineficiencia (H₀: σ²_u = 0); y (v) test LR para la forma funcional (Cobb-Douglas vs. </w:t>
      </w:r>
      <w:proofErr w:type="spellStart"/>
      <w:r>
        <w:t>translog</w:t>
      </w:r>
      <w:proofErr w:type="spellEnd"/>
      <w:r>
        <w:t>).</w:t>
      </w:r>
    </w:p>
    <w:p w14:paraId="07964B8A" w14:textId="77777777" w:rsidR="00E320D9" w:rsidRDefault="00000000">
      <w:pPr>
        <w:spacing w:before="80" w:after="80" w:line="276" w:lineRule="auto"/>
        <w:jc w:val="both"/>
      </w:pPr>
      <w:r>
        <w:t>La muestra principal del Diseño A consta de 4.765 observaciones hospital-año para el período 2010–2023, con una cobertura de 880 hospitales únicos. El Diseño B utiliza 3.300 observaciones, restringidas a hospitales con actividad mínima en ambos tipos de servicio.</w:t>
      </w:r>
    </w:p>
    <w:p w14:paraId="2BDCA7BA" w14:textId="77777777" w:rsidR="00E320D9" w:rsidRDefault="00000000">
      <w:pPr>
        <w:pStyle w:val="Ttulo1"/>
      </w:pPr>
      <w:r>
        <w:t>4. Resultados principales</w:t>
      </w:r>
    </w:p>
    <w:p w14:paraId="4B1B660F" w14:textId="77777777" w:rsidR="00E320D9" w:rsidRDefault="00000000">
      <w:pPr>
        <w:pStyle w:val="Ttulo2"/>
      </w:pPr>
      <w:r>
        <w:t>4.1 Síntesis</w:t>
      </w:r>
    </w:p>
    <w:p w14:paraId="75271EF8" w14:textId="77777777" w:rsidR="00E320D9" w:rsidRDefault="00000000">
      <w:pPr>
        <w:spacing w:before="80" w:after="80" w:line="276" w:lineRule="auto"/>
        <w:jc w:val="both"/>
      </w:pPr>
      <w:r>
        <w:t>La Tabla 3 presenta el veredicto para cada predicción del modelo, con los estadísticos clave de los Diseños A y B. La eficiencia técnica media oscila entre 0.683 (frontera de intensidad, Diseño A) y 0.791 (frontera quirúrgica, Diseño B), coherente con los valores reportados en la literatura internacional de eficiencia hospitalaria.</w:t>
      </w:r>
    </w:p>
    <w:p w14:paraId="78DC01E8" w14:textId="77777777" w:rsidR="00E320D9" w:rsidRDefault="00E320D9">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1"/>
        <w:gridCol w:w="1928"/>
        <w:gridCol w:w="2124"/>
        <w:gridCol w:w="2126"/>
        <w:gridCol w:w="2331"/>
      </w:tblGrid>
      <w:tr w:rsidR="00E320D9" w14:paraId="4D815C49" w14:textId="77777777">
        <w:tblPrEx>
          <w:tblCellMar>
            <w:top w:w="0" w:type="dxa"/>
            <w:bottom w:w="0" w:type="dxa"/>
          </w:tblCellMar>
        </w:tblPrEx>
        <w:trPr>
          <w:tblHeader/>
        </w:trPr>
        <w:tc>
          <w:tcPr>
            <w:tcW w:w="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B421E30" w14:textId="77777777" w:rsidR="00E320D9" w:rsidRDefault="00000000">
            <w:pPr>
              <w:jc w:val="center"/>
            </w:pPr>
            <w:proofErr w:type="spellStart"/>
            <w:r>
              <w:rPr>
                <w:b/>
                <w:bCs/>
                <w:color w:val="FFFFFF"/>
                <w:sz w:val="18"/>
                <w:szCs w:val="18"/>
              </w:rPr>
              <w:t>Pred</w:t>
            </w:r>
            <w:proofErr w:type="spellEnd"/>
            <w:r>
              <w:rPr>
                <w:b/>
                <w:bCs/>
                <w:color w:val="FFFFFF"/>
                <w:sz w:val="18"/>
                <w:szCs w:val="18"/>
              </w:rPr>
              <w:t>.</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28CE97C" w14:textId="77777777" w:rsidR="00E320D9" w:rsidRDefault="00000000">
            <w:pPr>
              <w:jc w:val="center"/>
            </w:pPr>
            <w:r>
              <w:rPr>
                <w:b/>
                <w:bCs/>
                <w:color w:val="FFFFFF"/>
                <w:sz w:val="18"/>
                <w:szCs w:val="18"/>
              </w:rPr>
              <w:t>Diseño A (</w:t>
            </w:r>
            <w:proofErr w:type="spellStart"/>
            <w:r>
              <w:rPr>
                <w:b/>
                <w:bCs/>
                <w:color w:val="FFFFFF"/>
                <w:sz w:val="18"/>
                <w:szCs w:val="18"/>
              </w:rPr>
              <w:t>coef</w:t>
            </w:r>
            <w:proofErr w:type="spellEnd"/>
            <w:r>
              <w:rPr>
                <w:b/>
                <w:bCs/>
                <w:color w:val="FFFFFF"/>
                <w:sz w:val="18"/>
                <w:szCs w:val="18"/>
              </w:rPr>
              <w:t>. α vs. δ)</w:t>
            </w:r>
          </w:p>
        </w:tc>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2E60FEB" w14:textId="77777777" w:rsidR="00E320D9" w:rsidRDefault="00000000">
            <w:pPr>
              <w:jc w:val="center"/>
            </w:pPr>
            <w:r>
              <w:rPr>
                <w:b/>
                <w:bCs/>
                <w:color w:val="FFFFFF"/>
                <w:sz w:val="18"/>
                <w:szCs w:val="18"/>
              </w:rPr>
              <w:t>Veredicto A</w:t>
            </w:r>
          </w:p>
        </w:tc>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EFD63FE" w14:textId="77777777" w:rsidR="00E320D9" w:rsidRDefault="00000000">
            <w:pPr>
              <w:jc w:val="center"/>
            </w:pPr>
            <w:r>
              <w:rPr>
                <w:b/>
                <w:bCs/>
                <w:color w:val="FFFFFF"/>
                <w:sz w:val="18"/>
                <w:szCs w:val="18"/>
              </w:rPr>
              <w:t>Diseño B (z diferencial)</w:t>
            </w:r>
          </w:p>
        </w:tc>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9F1D4E5" w14:textId="77777777" w:rsidR="00E320D9" w:rsidRDefault="00000000">
            <w:pPr>
              <w:jc w:val="center"/>
            </w:pPr>
            <w:proofErr w:type="gramStart"/>
            <w:r>
              <w:rPr>
                <w:b/>
                <w:bCs/>
                <w:color w:val="FFFFFF"/>
                <w:sz w:val="18"/>
                <w:szCs w:val="18"/>
              </w:rPr>
              <w:t>Veredicto final</w:t>
            </w:r>
            <w:proofErr w:type="gramEnd"/>
          </w:p>
        </w:tc>
      </w:tr>
      <w:tr w:rsidR="00E320D9" w14:paraId="2509CA86"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6BE498A" w14:textId="77777777" w:rsidR="00E320D9" w:rsidRDefault="00000000">
            <w:pPr>
              <w:jc w:val="center"/>
            </w:pPr>
            <w:r>
              <w:rPr>
                <w:b/>
                <w:bCs/>
                <w:color w:val="000000"/>
                <w:sz w:val="18"/>
                <w:szCs w:val="18"/>
              </w:rPr>
              <w:t>P1</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D1817FC" w14:textId="77777777" w:rsidR="00E320D9" w:rsidRDefault="00000000">
            <w:pPr>
              <w:jc w:val="center"/>
            </w:pPr>
            <w:r>
              <w:rPr>
                <w:color w:val="000000"/>
                <w:sz w:val="18"/>
                <w:szCs w:val="18"/>
              </w:rPr>
              <w:t>−2.530*** (t = −6.98)</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05D0B45" w14:textId="77777777" w:rsidR="00E320D9" w:rsidRDefault="00000000">
            <w:pPr>
              <w:jc w:val="center"/>
            </w:pPr>
            <w:r>
              <w:rPr>
                <w:color w:val="000000"/>
                <w:sz w:val="18"/>
                <w:szCs w:val="18"/>
              </w:rPr>
              <w:t>Confirmada (7/7)</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C861F1F" w14:textId="77777777" w:rsidR="00E320D9" w:rsidRDefault="00000000">
            <w:pPr>
              <w:jc w:val="center"/>
            </w:pPr>
            <w:r>
              <w:rPr>
                <w:color w:val="000000"/>
                <w:sz w:val="18"/>
                <w:szCs w:val="18"/>
              </w:rPr>
              <w:t xml:space="preserve">Confirmada vía </w:t>
            </w:r>
            <w:proofErr w:type="spellStart"/>
            <w:r>
              <w:rPr>
                <w:color w:val="000000"/>
                <w:sz w:val="18"/>
                <w:szCs w:val="18"/>
              </w:rPr>
              <w:t>Priv_Merc</w:t>
            </w:r>
            <w:proofErr w:type="spellEnd"/>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064C5EC" w14:textId="77777777" w:rsidR="00E320D9" w:rsidRDefault="00000000">
            <w:pPr>
              <w:jc w:val="center"/>
            </w:pPr>
            <w:r>
              <w:rPr>
                <w:b/>
                <w:bCs/>
                <w:color w:val="1A7A35"/>
                <w:sz w:val="18"/>
                <w:szCs w:val="18"/>
              </w:rPr>
              <w:t>CONFIRMADA</w:t>
            </w:r>
          </w:p>
        </w:tc>
      </w:tr>
      <w:tr w:rsidR="00E320D9" w14:paraId="1539929F"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3AB3DB7" w14:textId="77777777" w:rsidR="00E320D9" w:rsidRDefault="00000000">
            <w:pPr>
              <w:jc w:val="center"/>
            </w:pPr>
            <w:r>
              <w:rPr>
                <w:b/>
                <w:bCs/>
                <w:color w:val="000000"/>
                <w:sz w:val="18"/>
                <w:szCs w:val="18"/>
              </w:rPr>
              <w:t>P2</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B6B5073" w14:textId="77777777" w:rsidR="00E320D9" w:rsidRDefault="00000000">
            <w:pPr>
              <w:jc w:val="center"/>
            </w:pPr>
            <w:proofErr w:type="spellStart"/>
            <w:r>
              <w:rPr>
                <w:color w:val="000000"/>
                <w:sz w:val="18"/>
                <w:szCs w:val="18"/>
              </w:rPr>
              <w:t>zdif</w:t>
            </w:r>
            <w:proofErr w:type="spellEnd"/>
            <w:r>
              <w:rPr>
                <w:color w:val="000000"/>
                <w:sz w:val="18"/>
                <w:szCs w:val="18"/>
              </w:rPr>
              <w:t xml:space="preserve"> = −2.09* (asimetría sig.)</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EFA23BE" w14:textId="77777777" w:rsidR="00E320D9" w:rsidRDefault="00000000">
            <w:pPr>
              <w:jc w:val="center"/>
            </w:pPr>
            <w:r>
              <w:rPr>
                <w:color w:val="000000"/>
                <w:sz w:val="18"/>
                <w:szCs w:val="18"/>
              </w:rPr>
              <w:t>Parcial (sin inversión)</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D3A134E" w14:textId="77777777" w:rsidR="00E320D9" w:rsidRDefault="00000000">
            <w:pPr>
              <w:jc w:val="center"/>
            </w:pPr>
            <w:r>
              <w:rPr>
                <w:color w:val="000000"/>
                <w:sz w:val="18"/>
                <w:szCs w:val="18"/>
              </w:rPr>
              <w:t>Parcial (</w:t>
            </w:r>
            <w:proofErr w:type="spellStart"/>
            <w:r>
              <w:rPr>
                <w:color w:val="000000"/>
                <w:sz w:val="18"/>
                <w:szCs w:val="18"/>
              </w:rPr>
              <w:t>Priv_Merc</w:t>
            </w:r>
            <w:proofErr w:type="spellEnd"/>
            <w:r>
              <w:rPr>
                <w:color w:val="000000"/>
                <w:sz w:val="18"/>
                <w:szCs w:val="18"/>
              </w:rPr>
              <w:t xml:space="preserve"> &lt; 0)</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80364A9" w14:textId="77777777" w:rsidR="00E320D9" w:rsidRDefault="00000000">
            <w:pPr>
              <w:jc w:val="center"/>
            </w:pPr>
            <w:r>
              <w:rPr>
                <w:b/>
                <w:bCs/>
                <w:color w:val="B8860B"/>
                <w:sz w:val="18"/>
                <w:szCs w:val="18"/>
              </w:rPr>
              <w:t>PARCIAL</w:t>
            </w:r>
          </w:p>
        </w:tc>
      </w:tr>
      <w:tr w:rsidR="00E320D9" w14:paraId="766E6AE2"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CBA8E77" w14:textId="77777777" w:rsidR="00E320D9" w:rsidRDefault="00000000">
            <w:pPr>
              <w:jc w:val="center"/>
            </w:pPr>
            <w:r>
              <w:rPr>
                <w:b/>
                <w:bCs/>
                <w:color w:val="000000"/>
                <w:sz w:val="18"/>
                <w:szCs w:val="18"/>
              </w:rPr>
              <w:t>P3</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BF8479D" w14:textId="77777777" w:rsidR="00E320D9" w:rsidRDefault="00000000">
            <w:pPr>
              <w:jc w:val="center"/>
            </w:pPr>
            <w:proofErr w:type="spellStart"/>
            <w:r>
              <w:rPr>
                <w:color w:val="000000"/>
                <w:sz w:val="18"/>
                <w:szCs w:val="18"/>
              </w:rPr>
              <w:t>zdif</w:t>
            </w:r>
            <w:proofErr w:type="spellEnd"/>
            <w:r>
              <w:rPr>
                <w:color w:val="000000"/>
                <w:sz w:val="18"/>
                <w:szCs w:val="18"/>
              </w:rPr>
              <w:t xml:space="preserve"> = 2.35*</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EE050CF" w14:textId="77777777" w:rsidR="00E320D9" w:rsidRDefault="00000000">
            <w:pPr>
              <w:jc w:val="center"/>
            </w:pPr>
            <w:r>
              <w:rPr>
                <w:color w:val="000000"/>
                <w:sz w:val="18"/>
                <w:szCs w:val="18"/>
              </w:rPr>
              <w:t>Confirmada</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E892249" w14:textId="77777777" w:rsidR="00E320D9" w:rsidRDefault="00000000">
            <w:pPr>
              <w:jc w:val="center"/>
            </w:pPr>
            <w:proofErr w:type="spellStart"/>
            <w:r>
              <w:rPr>
                <w:color w:val="000000"/>
                <w:sz w:val="18"/>
                <w:szCs w:val="18"/>
              </w:rPr>
              <w:t>zdif</w:t>
            </w:r>
            <w:proofErr w:type="spellEnd"/>
            <w:r>
              <w:rPr>
                <w:color w:val="000000"/>
                <w:sz w:val="18"/>
                <w:szCs w:val="18"/>
              </w:rPr>
              <w:t xml:space="preserve"> = 5.32***</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DF54BEB" w14:textId="77777777" w:rsidR="00E320D9" w:rsidRDefault="00000000">
            <w:pPr>
              <w:jc w:val="center"/>
            </w:pPr>
            <w:r>
              <w:rPr>
                <w:b/>
                <w:bCs/>
                <w:color w:val="1A7A35"/>
                <w:sz w:val="18"/>
                <w:szCs w:val="18"/>
              </w:rPr>
              <w:t>CONFIRMADA</w:t>
            </w:r>
          </w:p>
        </w:tc>
      </w:tr>
      <w:tr w:rsidR="00E320D9" w14:paraId="09B7EEA8"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5074B54" w14:textId="77777777" w:rsidR="00E320D9" w:rsidRDefault="00000000">
            <w:pPr>
              <w:jc w:val="center"/>
            </w:pPr>
            <w:r>
              <w:rPr>
                <w:b/>
                <w:bCs/>
                <w:color w:val="000000"/>
                <w:sz w:val="18"/>
                <w:szCs w:val="18"/>
              </w:rPr>
              <w:t>P4</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3E1864C" w14:textId="77777777" w:rsidR="00E320D9" w:rsidRDefault="00000000">
            <w:pPr>
              <w:jc w:val="center"/>
            </w:pPr>
            <w:proofErr w:type="spellStart"/>
            <w:r>
              <w:rPr>
                <w:color w:val="000000"/>
                <w:sz w:val="18"/>
                <w:szCs w:val="18"/>
              </w:rPr>
              <w:t>zdif</w:t>
            </w:r>
            <w:proofErr w:type="spellEnd"/>
            <w:r>
              <w:rPr>
                <w:color w:val="000000"/>
                <w:sz w:val="18"/>
                <w:szCs w:val="18"/>
              </w:rPr>
              <w:t xml:space="preserve"> = −0.84 (</w:t>
            </w:r>
            <w:proofErr w:type="spellStart"/>
            <w:r>
              <w:rPr>
                <w:color w:val="000000"/>
                <w:sz w:val="18"/>
                <w:szCs w:val="18"/>
              </w:rPr>
              <w:t>ns</w:t>
            </w:r>
            <w:proofErr w:type="spellEnd"/>
            <w:r>
              <w:rPr>
                <w:color w:val="000000"/>
                <w:sz w:val="18"/>
                <w:szCs w:val="18"/>
              </w:rPr>
              <w:t>)</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DE9CE99" w14:textId="77777777" w:rsidR="00E320D9" w:rsidRDefault="00000000">
            <w:pPr>
              <w:jc w:val="center"/>
            </w:pPr>
            <w:r>
              <w:rPr>
                <w:color w:val="000000"/>
                <w:sz w:val="18"/>
                <w:szCs w:val="18"/>
              </w:rPr>
              <w:t>No confirmada en A</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DA7BE3E" w14:textId="77777777" w:rsidR="00E320D9" w:rsidRDefault="00000000">
            <w:pPr>
              <w:jc w:val="center"/>
            </w:pPr>
            <w:proofErr w:type="spellStart"/>
            <w:r>
              <w:rPr>
                <w:color w:val="000000"/>
                <w:sz w:val="18"/>
                <w:szCs w:val="18"/>
              </w:rPr>
              <w:t>zdif</w:t>
            </w:r>
            <w:proofErr w:type="spellEnd"/>
            <w:r>
              <w:rPr>
                <w:color w:val="000000"/>
                <w:sz w:val="18"/>
                <w:szCs w:val="18"/>
              </w:rPr>
              <w:t xml:space="preserve"> = −9.89***</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73A1155" w14:textId="77777777" w:rsidR="00E320D9" w:rsidRDefault="00000000">
            <w:pPr>
              <w:jc w:val="center"/>
            </w:pPr>
            <w:r>
              <w:rPr>
                <w:b/>
                <w:bCs/>
                <w:color w:val="1A7A35"/>
                <w:sz w:val="18"/>
                <w:szCs w:val="18"/>
              </w:rPr>
              <w:t>CONFIRMADA (B)</w:t>
            </w:r>
          </w:p>
        </w:tc>
      </w:tr>
      <w:tr w:rsidR="00E320D9" w14:paraId="406D5E20"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04B5169" w14:textId="77777777" w:rsidR="00E320D9" w:rsidRDefault="00000000">
            <w:pPr>
              <w:jc w:val="center"/>
            </w:pPr>
            <w:r>
              <w:rPr>
                <w:b/>
                <w:bCs/>
                <w:color w:val="000000"/>
                <w:sz w:val="18"/>
                <w:szCs w:val="18"/>
              </w:rPr>
              <w:t>P*</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47F13B2" w14:textId="77777777" w:rsidR="00E320D9" w:rsidRDefault="00000000">
            <w:pPr>
              <w:jc w:val="center"/>
            </w:pPr>
            <w:r>
              <w:rPr>
                <w:color w:val="000000"/>
                <w:sz w:val="18"/>
                <w:szCs w:val="18"/>
              </w:rPr>
              <w:t>LR = 10,491***</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A235287" w14:textId="77777777" w:rsidR="00E320D9" w:rsidRDefault="00000000">
            <w:pPr>
              <w:jc w:val="center"/>
            </w:pPr>
            <w:r>
              <w:rPr>
                <w:color w:val="000000"/>
                <w:sz w:val="18"/>
                <w:szCs w:val="18"/>
              </w:rPr>
              <w:t>Confirmada</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821EE17" w14:textId="77777777" w:rsidR="00E320D9" w:rsidRDefault="00000000">
            <w:pPr>
              <w:jc w:val="center"/>
            </w:pPr>
            <w:r>
              <w:rPr>
                <w:color w:val="000000"/>
                <w:sz w:val="18"/>
                <w:szCs w:val="18"/>
              </w:rPr>
              <w:t>LR = 2,508***</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8B7DB84" w14:textId="77777777" w:rsidR="00E320D9" w:rsidRDefault="00000000">
            <w:pPr>
              <w:jc w:val="center"/>
            </w:pPr>
            <w:r>
              <w:rPr>
                <w:b/>
                <w:bCs/>
                <w:color w:val="1A7A35"/>
                <w:sz w:val="18"/>
                <w:szCs w:val="18"/>
              </w:rPr>
              <w:t>CONFIRMADA</w:t>
            </w:r>
          </w:p>
        </w:tc>
      </w:tr>
    </w:tbl>
    <w:p w14:paraId="3EC0BF2D" w14:textId="77777777" w:rsidR="00E320D9" w:rsidRDefault="00000000">
      <w:pPr>
        <w:spacing w:before="60" w:after="120"/>
        <w:jc w:val="center"/>
      </w:pPr>
      <w:r>
        <w:rPr>
          <w:i/>
          <w:iCs/>
          <w:color w:val="595959"/>
          <w:sz w:val="18"/>
          <w:szCs w:val="18"/>
        </w:rPr>
        <w:t xml:space="preserve">Tabla 3. Síntesis de resultados. α̂₁ = </w:t>
      </w:r>
      <w:proofErr w:type="spellStart"/>
      <w:r>
        <w:rPr>
          <w:i/>
          <w:iCs/>
          <w:color w:val="595959"/>
          <w:sz w:val="18"/>
          <w:szCs w:val="18"/>
        </w:rPr>
        <w:t>coef</w:t>
      </w:r>
      <w:proofErr w:type="spellEnd"/>
      <w:r>
        <w:rPr>
          <w:i/>
          <w:iCs/>
          <w:color w:val="595959"/>
          <w:sz w:val="18"/>
          <w:szCs w:val="18"/>
        </w:rPr>
        <w:t xml:space="preserve">. de </w:t>
      </w:r>
      <w:proofErr w:type="spellStart"/>
      <w:r>
        <w:rPr>
          <w:i/>
          <w:iCs/>
          <w:color w:val="595959"/>
          <w:sz w:val="18"/>
          <w:szCs w:val="18"/>
        </w:rPr>
        <w:t>D^desc</w:t>
      </w:r>
      <w:proofErr w:type="spellEnd"/>
      <w:r>
        <w:rPr>
          <w:i/>
          <w:iCs/>
          <w:color w:val="595959"/>
          <w:sz w:val="18"/>
          <w:szCs w:val="18"/>
        </w:rPr>
        <w:t xml:space="preserve"> en frontera de cantidad; δ̂₁ = </w:t>
      </w:r>
      <w:proofErr w:type="spellStart"/>
      <w:r>
        <w:rPr>
          <w:i/>
          <w:iCs/>
          <w:color w:val="595959"/>
          <w:sz w:val="18"/>
          <w:szCs w:val="18"/>
        </w:rPr>
        <w:t>coef</w:t>
      </w:r>
      <w:proofErr w:type="spellEnd"/>
      <w:r>
        <w:rPr>
          <w:i/>
          <w:iCs/>
          <w:color w:val="595959"/>
          <w:sz w:val="18"/>
          <w:szCs w:val="18"/>
        </w:rPr>
        <w:t>. en frontera de intensidad. *** p &lt; 0.001, * p &lt; 0.05.</w:t>
      </w:r>
    </w:p>
    <w:p w14:paraId="0372FB1E" w14:textId="77777777" w:rsidR="00E320D9" w:rsidRDefault="00E320D9">
      <w:pPr>
        <w:spacing w:after="80"/>
      </w:pPr>
    </w:p>
    <w:p w14:paraId="6D18523C" w14:textId="77777777" w:rsidR="00E320D9" w:rsidRDefault="00000000">
      <w:pPr>
        <w:pStyle w:val="Ttulo2"/>
      </w:pPr>
      <w:r>
        <w:t>4.2 Predicción P1: descentralización reduce ineficiencia en cantidad</w:t>
      </w:r>
    </w:p>
    <w:p w14:paraId="5917CBAB" w14:textId="77777777" w:rsidR="00E320D9" w:rsidRDefault="00000000">
      <w:pPr>
        <w:spacing w:before="80" w:after="80" w:line="276" w:lineRule="auto"/>
        <w:jc w:val="both"/>
      </w:pPr>
      <w:r>
        <w:t xml:space="preserve">El coeficiente de </w:t>
      </w:r>
      <w:proofErr w:type="spellStart"/>
      <w:r>
        <w:t>D^desc</w:t>
      </w:r>
      <w:proofErr w:type="spellEnd"/>
      <w:r>
        <w:t xml:space="preserve"> en la frontera de cantidad es −2.530 (t = −6.98, p &lt; 0.001) en la especificación principal. Los hospitales con mayor autonomía en el diseño de contratos internos </w:t>
      </w:r>
      <w:r>
        <w:lastRenderedPageBreak/>
        <w:t>producen más actividad por unidad de input. En el Diseño B, los hospitales privados de mercado (</w:t>
      </w:r>
      <w:proofErr w:type="spellStart"/>
      <w:r>
        <w:t>Priv_Merc</w:t>
      </w:r>
      <w:proofErr w:type="spellEnd"/>
      <w:r>
        <w:t>) exhiben mayor ineficiencia en servicios quirúrgicos (+2.256, t = 5.08), mientras que en servicios médicos el efecto es el opuesto (−2.720, t = −3.30), consistente con la predicción de asimetría. La confirmación de P1 es la más robusta de todo el análisis: el signo y la significación se mantienen en las siete especificaciones alternativas del análisis de robustez, con t-estadísticos entre −3.3 y −11.0.</w:t>
      </w:r>
    </w:p>
    <w:p w14:paraId="00ED5357" w14:textId="77777777" w:rsidR="00E320D9" w:rsidRDefault="00000000">
      <w:pPr>
        <w:pStyle w:val="Ttulo2"/>
      </w:pPr>
      <w:r>
        <w:t>4.3 Predicción P2: descentralización aumenta ineficiencia en intensidad</w:t>
      </w:r>
    </w:p>
    <w:p w14:paraId="2BA2D985" w14:textId="77777777" w:rsidR="00E320D9" w:rsidRDefault="00000000">
      <w:pPr>
        <w:spacing w:before="80" w:after="80" w:line="276" w:lineRule="auto"/>
        <w:jc w:val="both"/>
      </w:pPr>
      <w:r>
        <w:t xml:space="preserve">Esta es la predicción </w:t>
      </w:r>
      <w:proofErr w:type="gramStart"/>
      <w:r>
        <w:t>más relevante y más difícil</w:t>
      </w:r>
      <w:proofErr w:type="gramEnd"/>
      <w:r>
        <w:t xml:space="preserve"> de confirmar. El coeficiente de </w:t>
      </w:r>
      <w:proofErr w:type="spellStart"/>
      <w:r>
        <w:t>D^desc</w:t>
      </w:r>
      <w:proofErr w:type="spellEnd"/>
      <w:r>
        <w:t xml:space="preserve"> en la frontera de intensidad es −1.477 (t = −4.21), negativo en todas las especificaciones, no positivo como predice el modelo bajo el supuesto de sustitución fuerte. Sin embargo, la diferencia entre los dos coeficientes (α₁ vs. δ₁) es estadísticamente significativa (</w:t>
      </w:r>
      <w:proofErr w:type="spellStart"/>
      <w:r>
        <w:t>z_dif</w:t>
      </w:r>
      <w:proofErr w:type="spellEnd"/>
      <w:r>
        <w:t xml:space="preserve"> = −2.09, p = 0.037): la descentralización reduce la ineficiencia en cantidad significativamente más que en intensidad, en la dirección asimétrica predicha por el modelo.</w:t>
      </w:r>
    </w:p>
    <w:p w14:paraId="217F7D8A" w14:textId="77777777" w:rsidR="00E320D9" w:rsidRDefault="00E320D9">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320D9" w14:paraId="1C8C2792" w14:textId="77777777">
        <w:tblPrEx>
          <w:tblCellMar>
            <w:top w:w="0" w:type="dxa"/>
            <w:bottom w:w="0" w:type="dxa"/>
          </w:tblCellMar>
        </w:tblPrEx>
        <w:tc>
          <w:tcPr>
            <w:tcW w:w="9200" w:type="dxa"/>
            <w:tcBorders>
              <w:top w:val="single" w:sz="4" w:space="0" w:color="1F4E79"/>
              <w:left w:val="thick" w:sz="12" w:space="0" w:color="1F4E79"/>
              <w:bottom w:val="single" w:sz="4" w:space="0" w:color="1F4E79"/>
              <w:right w:val="single" w:sz="4" w:space="0" w:color="1F4E79"/>
            </w:tcBorders>
            <w:shd w:val="clear" w:color="auto" w:fill="EBF3FB"/>
            <w:tcMar>
              <w:top w:w="120" w:type="dxa"/>
              <w:left w:w="200" w:type="dxa"/>
              <w:bottom w:w="120" w:type="dxa"/>
              <w:right w:w="120" w:type="dxa"/>
            </w:tcMar>
          </w:tcPr>
          <w:p w14:paraId="32FFDB48" w14:textId="77777777" w:rsidR="00E320D9" w:rsidRDefault="00000000">
            <w:pPr>
              <w:jc w:val="both"/>
            </w:pPr>
            <w:r>
              <w:rPr>
                <w:i/>
                <w:iCs/>
                <w:color w:val="1F4E79"/>
                <w:sz w:val="20"/>
                <w:szCs w:val="20"/>
              </w:rPr>
              <w:t>Interpretación: el signo negativo de δ̂₁ es consistente con un valor medio de ψ₁₂ en el sistema hospitalario español insuficiente para revertir el efecto, o bien con la presencia de mecanismos institucionales de control de calidad (acreditación autonómica, contratos-programa con estándares de intensidad) que limitan la sustitución de esfuerzo entre tareas. La asimetría estadísticamente significativa sí confirma la dirección del efecto predicho por el modelo.</w:t>
            </w:r>
          </w:p>
        </w:tc>
      </w:tr>
    </w:tbl>
    <w:p w14:paraId="47D6D608" w14:textId="77777777" w:rsidR="00E320D9" w:rsidRDefault="00E320D9">
      <w:pPr>
        <w:spacing w:after="80"/>
      </w:pPr>
    </w:p>
    <w:p w14:paraId="17DDC5C4" w14:textId="77777777" w:rsidR="00E320D9" w:rsidRDefault="00000000">
      <w:pPr>
        <w:pStyle w:val="Ttulo2"/>
      </w:pPr>
      <w:r>
        <w:t>4.4 Predicción P3: el tipo de pago modera asimétricamente</w:t>
      </w:r>
    </w:p>
    <w:p w14:paraId="31F8ABB3" w14:textId="77777777" w:rsidR="00E320D9" w:rsidRDefault="00000000">
      <w:pPr>
        <w:spacing w:before="80" w:after="80" w:line="276" w:lineRule="auto"/>
        <w:jc w:val="both"/>
      </w:pPr>
      <w:r>
        <w:t xml:space="preserve">El coeficiente de </w:t>
      </w:r>
      <w:proofErr w:type="spellStart"/>
      <w:r>
        <w:t>pct^SNS</w:t>
      </w:r>
      <w:proofErr w:type="spellEnd"/>
      <w:r>
        <w:t xml:space="preserve"> es negativo y altamente significativo en ambas fronteras (−2.473 en cantidad, −2.439 en intensidad): una mayor financiación pública reduce la ineficiencia en ambas dimensiones, consistente con la disciplina que imponen los contratos-programa del SNS. La interacción </w:t>
      </w:r>
      <w:proofErr w:type="spellStart"/>
      <w:r>
        <w:t>D^desc</w:t>
      </w:r>
      <w:proofErr w:type="spellEnd"/>
      <w:r>
        <w:t xml:space="preserve"> × </w:t>
      </w:r>
      <w:proofErr w:type="spellStart"/>
      <w:r>
        <w:t>pct^SNS</w:t>
      </w:r>
      <w:proofErr w:type="spellEnd"/>
      <w:r>
        <w:t xml:space="preserve"> difiere significativamente entre fronteras (</w:t>
      </w:r>
      <w:proofErr w:type="spellStart"/>
      <w:r>
        <w:t>z_dif</w:t>
      </w:r>
      <w:proofErr w:type="spellEnd"/>
      <w:r>
        <w:t xml:space="preserve"> = 2.35 en Diseño A, </w:t>
      </w:r>
      <w:proofErr w:type="spellStart"/>
      <w:r>
        <w:t>z_dif</w:t>
      </w:r>
      <w:proofErr w:type="spellEnd"/>
      <w:r>
        <w:t xml:space="preserve"> = 5.32 en Diseño B, ambos p &lt; 0.05): el tipo de pago modera el efecto de la descentralización de forma cualitativamente distinta sobre cantidad e intensidad, confirmando P3.</w:t>
      </w:r>
    </w:p>
    <w:p w14:paraId="2BDFAE0C" w14:textId="77777777" w:rsidR="00E320D9" w:rsidRDefault="00000000">
      <w:pPr>
        <w:pStyle w:val="Ttulo2"/>
      </w:pPr>
      <w:r>
        <w:t>4.5 Predicción P4: ψ₁₂ modera asimétricamente el diferencial</w:t>
      </w:r>
    </w:p>
    <w:p w14:paraId="3F24C8CB" w14:textId="77777777" w:rsidR="00E320D9" w:rsidRDefault="00000000">
      <w:pPr>
        <w:spacing w:before="80" w:after="80" w:line="276" w:lineRule="auto"/>
        <w:jc w:val="both"/>
      </w:pPr>
      <w:r>
        <w:t xml:space="preserve">El resultado individual más robusto de todo el análisis. En el Diseño B, </w:t>
      </w:r>
      <w:proofErr w:type="spellStart"/>
      <w:r>
        <w:t>ShareQ</w:t>
      </w:r>
      <w:proofErr w:type="spellEnd"/>
      <w:r>
        <w:t xml:space="preserve"> tiene signos completamente opuestos en las dos fronteras: −7.015 (t = −8.42) en quirúrgico y +4.647 (t = 5.58) en médico, con </w:t>
      </w:r>
      <w:proofErr w:type="spellStart"/>
      <w:r>
        <w:t>z_dif</w:t>
      </w:r>
      <w:proofErr w:type="spellEnd"/>
      <w:r>
        <w:t xml:space="preserve"> = −9.89 (p &lt; 0.001). Los hospitales con mayor proporción de actividad quirúrgica operan en un régimen de complementariedad entre tareas (ψ₁₂ &lt; 0): el acto quirúrgico genera per se mayor intensidad diagnóstica pre y postoperatoria, lo que mejora la eficiencia relativa en la frontera </w:t>
      </w:r>
      <w:proofErr w:type="gramStart"/>
      <w:r>
        <w:t>quirúrgica</w:t>
      </w:r>
      <w:proofErr w:type="gramEnd"/>
      <w:r>
        <w:t xml:space="preserve"> pero deteriora la relativa en la frontera médica, donde compiten sin esa complementariedad. Este resultado es exactamente la moderación asimétrica predicha por P4. La correlación negativa entre ineficiencias en el Diseño B (r = −0.140, p &lt; 0.001) proporciona evidencia adicional directa del mecanismo de sustitución de esfuerzo entre tareas.</w:t>
      </w:r>
    </w:p>
    <w:p w14:paraId="0137E3B3" w14:textId="77777777" w:rsidR="00E320D9" w:rsidRDefault="00000000">
      <w:pPr>
        <w:pStyle w:val="Ttulo2"/>
      </w:pPr>
      <w:r>
        <w:t>4.6 Contraste central P*: los vectores de determinantes difieren</w:t>
      </w:r>
    </w:p>
    <w:p w14:paraId="5826F63C" w14:textId="77777777" w:rsidR="00E320D9" w:rsidRDefault="00000000">
      <w:pPr>
        <w:spacing w:before="80" w:after="80" w:line="276" w:lineRule="auto"/>
        <w:jc w:val="both"/>
      </w:pPr>
      <w:proofErr w:type="gramStart"/>
      <w:r>
        <w:t>El test</w:t>
      </w:r>
      <w:proofErr w:type="gramEnd"/>
      <w:r>
        <w:t xml:space="preserve"> de razón de verosimilitud sobre H₀: α = δ rechaza abrumadoramente la hipótesis nula en ambos diseños (LR_A = 10.491, LR_B = 2.508, ambos p &lt; 0.001). Los determinantes institucionales de la ineficiencia operan de forma cualitativamente distinta sobre las dos dimensiones del output hospitalario. Este resultado no es recuperable con ningún modelo SFA estándar de un único término de ineficiencia.</w:t>
      </w:r>
    </w:p>
    <w:p w14:paraId="69C13C14" w14:textId="77777777" w:rsidR="00E320D9" w:rsidRDefault="00000000">
      <w:pPr>
        <w:pStyle w:val="Ttulo1"/>
      </w:pPr>
      <w:r>
        <w:lastRenderedPageBreak/>
        <w:t xml:space="preserve">5. </w:t>
      </w:r>
      <w:proofErr w:type="spellStart"/>
      <w:r>
        <w:t>Tests</w:t>
      </w:r>
      <w:proofErr w:type="spellEnd"/>
      <w:r>
        <w:t xml:space="preserve"> de robustez y especificación</w:t>
      </w:r>
    </w:p>
    <w:p w14:paraId="352AC03B" w14:textId="77777777" w:rsidR="00E320D9" w:rsidRDefault="00000000">
      <w:pPr>
        <w:pStyle w:val="Ttulo2"/>
      </w:pPr>
      <w:r>
        <w:t xml:space="preserve">5.1 </w:t>
      </w:r>
      <w:proofErr w:type="spellStart"/>
      <w:r>
        <w:t>Tests</w:t>
      </w:r>
      <w:proofErr w:type="spellEnd"/>
      <w:r>
        <w:t xml:space="preserve"> formales de especificación</w:t>
      </w:r>
    </w:p>
    <w:p w14:paraId="441D5FAA" w14:textId="77777777" w:rsidR="00E320D9" w:rsidRDefault="00000000">
      <w:pPr>
        <w:spacing w:before="80" w:after="80" w:line="276" w:lineRule="auto"/>
        <w:jc w:val="both"/>
      </w:pPr>
      <w:r>
        <w:t xml:space="preserve">Todos los modelos superan los </w:t>
      </w:r>
      <w:proofErr w:type="spellStart"/>
      <w:r>
        <w:t>tests</w:t>
      </w:r>
      <w:proofErr w:type="spellEnd"/>
      <w:r>
        <w:t xml:space="preserve"> formales de especificación:</w:t>
      </w:r>
    </w:p>
    <w:p w14:paraId="35EBDA7E" w14:textId="77777777" w:rsidR="00E320D9" w:rsidRDefault="00E320D9"/>
    <w:p w14:paraId="3429F688" w14:textId="77777777" w:rsidR="00E320D9" w:rsidRDefault="00000000">
      <w:pPr>
        <w:pStyle w:val="Prrafodelista"/>
        <w:numPr>
          <w:ilvl w:val="0"/>
          <w:numId w:val="2"/>
        </w:numPr>
        <w:spacing w:before="60" w:after="60" w:line="264" w:lineRule="auto"/>
        <w:jc w:val="both"/>
      </w:pPr>
      <w:r>
        <w:rPr>
          <w:b/>
          <w:bCs/>
        </w:rPr>
        <w:t xml:space="preserve">Test </w:t>
      </w:r>
      <w:proofErr w:type="spellStart"/>
      <w:r>
        <w:rPr>
          <w:b/>
          <w:bCs/>
        </w:rPr>
        <w:t>Kodde</w:t>
      </w:r>
      <w:proofErr w:type="spellEnd"/>
      <w:r>
        <w:rPr>
          <w:b/>
          <w:bCs/>
        </w:rPr>
        <w:t xml:space="preserve">-Palm (H₀: σ²_u = 0): </w:t>
      </w:r>
      <w:r>
        <w:t>estadísticos LR entre 474 y 2.240 (p &lt; 0.001 en todos los modelos). La ineficiencia técnica es estadísticamente significativa y no puede atribuirse a ruido aleatorio.</w:t>
      </w:r>
    </w:p>
    <w:p w14:paraId="48E38251" w14:textId="77777777" w:rsidR="00E320D9" w:rsidRDefault="00000000">
      <w:pPr>
        <w:pStyle w:val="Prrafodelista"/>
        <w:numPr>
          <w:ilvl w:val="0"/>
          <w:numId w:val="2"/>
        </w:numPr>
        <w:spacing w:before="60" w:after="60" w:line="264" w:lineRule="auto"/>
        <w:jc w:val="both"/>
      </w:pPr>
      <w:r>
        <w:rPr>
          <w:b/>
          <w:bCs/>
        </w:rPr>
        <w:t xml:space="preserve">Test LR forma funcional (Cobb-Douglas vs. </w:t>
      </w:r>
      <w:proofErr w:type="spellStart"/>
      <w:r>
        <w:rPr>
          <w:b/>
          <w:bCs/>
        </w:rPr>
        <w:t>translog</w:t>
      </w:r>
      <w:proofErr w:type="spellEnd"/>
      <w:r>
        <w:rPr>
          <w:b/>
          <w:bCs/>
        </w:rPr>
        <w:t xml:space="preserve">): </w:t>
      </w:r>
      <w:r>
        <w:t xml:space="preserve">estadísticos entre 247 y 594 (p &lt; 0.001). La especificación </w:t>
      </w:r>
      <w:proofErr w:type="spellStart"/>
      <w:r>
        <w:t>translog</w:t>
      </w:r>
      <w:proofErr w:type="spellEnd"/>
      <w:r>
        <w:t xml:space="preserve"> es preferida sobre Cobb-Douglas en todos los diseños.</w:t>
      </w:r>
    </w:p>
    <w:p w14:paraId="5B0B3F22" w14:textId="77777777" w:rsidR="00E320D9" w:rsidRDefault="00000000">
      <w:pPr>
        <w:pStyle w:val="Prrafodelista"/>
        <w:numPr>
          <w:ilvl w:val="0"/>
          <w:numId w:val="2"/>
        </w:numPr>
        <w:spacing w:before="60" w:after="60" w:line="264" w:lineRule="auto"/>
        <w:jc w:val="both"/>
      </w:pPr>
      <w:r>
        <w:rPr>
          <w:b/>
          <w:bCs/>
        </w:rPr>
        <w:t xml:space="preserve">Correlación entre ineficiencias: </w:t>
      </w:r>
      <w:r>
        <w:t>baja en valor absoluto (|r| &lt; 0.15 en ambos diseños), lo que justifica la estimación independiente de las dos fronteras en lugar de un sistema bivariado con cópula.</w:t>
      </w:r>
    </w:p>
    <w:p w14:paraId="5981CFCB" w14:textId="77777777" w:rsidR="00E320D9" w:rsidRDefault="00E320D9">
      <w:pPr>
        <w:spacing w:after="80"/>
      </w:pPr>
    </w:p>
    <w:p w14:paraId="640D93C8" w14:textId="77777777" w:rsidR="00E320D9" w:rsidRDefault="00000000">
      <w:pPr>
        <w:pStyle w:val="Ttulo2"/>
      </w:pPr>
      <w:r>
        <w:t>5.2 Análisis de robustez</w:t>
      </w:r>
    </w:p>
    <w:p w14:paraId="77EB5537" w14:textId="77777777" w:rsidR="00E320D9" w:rsidRDefault="00000000">
      <w:pPr>
        <w:spacing w:before="80" w:after="80" w:line="276" w:lineRule="auto"/>
        <w:jc w:val="both"/>
      </w:pPr>
      <w:r>
        <w:t xml:space="preserve">El resultado principal (asimetría entre α̂₁ y δ̂₁) se contrasta en siete especificaciones alternativas que cubren: medidas alternativas de intensidad, fuentes alternativas de </w:t>
      </w:r>
      <w:proofErr w:type="spellStart"/>
      <w:r>
        <w:t>D^desc</w:t>
      </w:r>
      <w:proofErr w:type="spellEnd"/>
      <w:r>
        <w:t xml:space="preserve">, distribución </w:t>
      </w:r>
      <w:proofErr w:type="spellStart"/>
      <w:r>
        <w:t>half</w:t>
      </w:r>
      <w:proofErr w:type="spellEnd"/>
      <w:r>
        <w:t>-normal del término de ineficiencia, y muestra restringida al período pre-COVID (2010–2019):</w:t>
      </w:r>
    </w:p>
    <w:p w14:paraId="1A311EF6" w14:textId="77777777" w:rsidR="00E320D9" w:rsidRDefault="00E320D9">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
        <w:gridCol w:w="2527"/>
        <w:gridCol w:w="1537"/>
        <w:gridCol w:w="1644"/>
        <w:gridCol w:w="2491"/>
      </w:tblGrid>
      <w:tr w:rsidR="00E320D9" w14:paraId="5A22035F" w14:textId="77777777">
        <w:tblPrEx>
          <w:tblCellMar>
            <w:top w:w="0" w:type="dxa"/>
            <w:bottom w:w="0" w:type="dxa"/>
          </w:tblCellMar>
        </w:tblPrEx>
        <w:trPr>
          <w:tblHeader/>
        </w:trPr>
        <w:tc>
          <w:tcPr>
            <w:tcW w:w="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97D8022" w14:textId="77777777" w:rsidR="00E320D9" w:rsidRDefault="00000000">
            <w:pPr>
              <w:jc w:val="center"/>
            </w:pPr>
            <w:r>
              <w:rPr>
                <w:b/>
                <w:bCs/>
                <w:color w:val="FFFFFF"/>
                <w:sz w:val="18"/>
                <w:szCs w:val="18"/>
              </w:rPr>
              <w:t>Esp.</w:t>
            </w:r>
          </w:p>
        </w:tc>
        <w:tc>
          <w:tcPr>
            <w:tcW w:w="27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EA97E1C" w14:textId="77777777" w:rsidR="00E320D9" w:rsidRDefault="00000000">
            <w:pPr>
              <w:jc w:val="center"/>
            </w:pPr>
            <w:r>
              <w:rPr>
                <w:b/>
                <w:bCs/>
                <w:color w:val="FFFFFF"/>
                <w:sz w:val="18"/>
                <w:szCs w:val="18"/>
              </w:rPr>
              <w:t>Modificación</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7579EEA" w14:textId="77777777" w:rsidR="00E320D9" w:rsidRDefault="00000000">
            <w:pPr>
              <w:jc w:val="center"/>
            </w:pPr>
            <w:r>
              <w:rPr>
                <w:b/>
                <w:bCs/>
                <w:color w:val="FFFFFF"/>
                <w:sz w:val="18"/>
                <w:szCs w:val="18"/>
              </w:rPr>
              <w:t>α̂ (cantidad)</w:t>
            </w:r>
          </w:p>
        </w:tc>
        <w:tc>
          <w:tcPr>
            <w:tcW w:w="17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77826F7" w14:textId="77777777" w:rsidR="00E320D9" w:rsidRDefault="00000000">
            <w:pPr>
              <w:jc w:val="center"/>
            </w:pPr>
            <w:r>
              <w:rPr>
                <w:b/>
                <w:bCs/>
                <w:color w:val="FFFFFF"/>
                <w:sz w:val="18"/>
                <w:szCs w:val="18"/>
              </w:rPr>
              <w:t>δ̂ (intensidad)</w:t>
            </w:r>
          </w:p>
        </w:tc>
        <w:tc>
          <w:tcPr>
            <w:tcW w:w="27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77B8ECB" w14:textId="77777777" w:rsidR="00E320D9" w:rsidRDefault="00000000">
            <w:pPr>
              <w:jc w:val="center"/>
            </w:pPr>
            <w:r>
              <w:rPr>
                <w:b/>
                <w:bCs/>
                <w:color w:val="FFFFFF"/>
                <w:sz w:val="18"/>
                <w:szCs w:val="18"/>
              </w:rPr>
              <w:t xml:space="preserve">Asimetría </w:t>
            </w:r>
            <w:proofErr w:type="spellStart"/>
            <w:r>
              <w:rPr>
                <w:b/>
                <w:bCs/>
                <w:color w:val="FFFFFF"/>
                <w:sz w:val="18"/>
                <w:szCs w:val="18"/>
              </w:rPr>
              <w:t>sign</w:t>
            </w:r>
            <w:proofErr w:type="spellEnd"/>
            <w:r>
              <w:rPr>
                <w:b/>
                <w:bCs/>
                <w:color w:val="FFFFFF"/>
                <w:sz w:val="18"/>
                <w:szCs w:val="18"/>
              </w:rPr>
              <w:t>.</w:t>
            </w:r>
          </w:p>
        </w:tc>
      </w:tr>
      <w:tr w:rsidR="00E320D9" w14:paraId="755071B8"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5E836A4" w14:textId="77777777" w:rsidR="00E320D9" w:rsidRDefault="00000000">
            <w:pPr>
              <w:jc w:val="center"/>
            </w:pPr>
            <w:r>
              <w:rPr>
                <w:b/>
                <w:bCs/>
                <w:sz w:val="18"/>
                <w:szCs w:val="18"/>
              </w:rPr>
              <w:t>Principal</w:t>
            </w:r>
          </w:p>
        </w:tc>
        <w:tc>
          <w:tcPr>
            <w:tcW w:w="27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8851755" w14:textId="77777777" w:rsidR="00E320D9" w:rsidRDefault="00000000">
            <w:r>
              <w:rPr>
                <w:b/>
                <w:bCs/>
                <w:sz w:val="18"/>
                <w:szCs w:val="18"/>
              </w:rPr>
              <w:t xml:space="preserve">iₐᵢₐᵍ, </w:t>
            </w:r>
            <w:proofErr w:type="spellStart"/>
            <w:r>
              <w:rPr>
                <w:b/>
                <w:bCs/>
                <w:sz w:val="18"/>
                <w:szCs w:val="18"/>
              </w:rPr>
              <w:t>D_desc</w:t>
            </w:r>
            <w:proofErr w:type="spellEnd"/>
            <w:r>
              <w:rPr>
                <w:b/>
                <w:bCs/>
                <w:sz w:val="18"/>
                <w:szCs w:val="18"/>
              </w:rPr>
              <w:t xml:space="preserve"> </w:t>
            </w:r>
            <w:proofErr w:type="spellStart"/>
            <w:r>
              <w:rPr>
                <w:b/>
                <w:bCs/>
                <w:sz w:val="18"/>
                <w:szCs w:val="18"/>
              </w:rPr>
              <w:t>coalesce</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4DCE4FB" w14:textId="77777777" w:rsidR="00E320D9" w:rsidRDefault="00000000">
            <w:pPr>
              <w:jc w:val="center"/>
            </w:pPr>
            <w:r>
              <w:rPr>
                <w:sz w:val="18"/>
                <w:szCs w:val="18"/>
              </w:rPr>
              <w:t>−2.530***</w:t>
            </w:r>
          </w:p>
        </w:tc>
        <w:tc>
          <w:tcPr>
            <w:tcW w:w="17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9494780" w14:textId="77777777" w:rsidR="00E320D9" w:rsidRDefault="00000000">
            <w:pPr>
              <w:jc w:val="center"/>
            </w:pPr>
            <w:r>
              <w:rPr>
                <w:sz w:val="18"/>
                <w:szCs w:val="18"/>
              </w:rPr>
              <w:t>−1.477***</w:t>
            </w:r>
          </w:p>
        </w:tc>
        <w:tc>
          <w:tcPr>
            <w:tcW w:w="27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B48DCEE" w14:textId="77777777" w:rsidR="00E320D9" w:rsidRDefault="00000000">
            <w:pPr>
              <w:jc w:val="center"/>
            </w:pPr>
            <w:r>
              <w:rPr>
                <w:sz w:val="18"/>
                <w:szCs w:val="18"/>
              </w:rPr>
              <w:t>Sí (p=0.037)</w:t>
            </w:r>
          </w:p>
        </w:tc>
      </w:tr>
      <w:tr w:rsidR="00E320D9" w14:paraId="5918AA11"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27A930" w14:textId="77777777" w:rsidR="00E320D9" w:rsidRDefault="00000000">
            <w:pPr>
              <w:jc w:val="center"/>
            </w:pPr>
            <w:r>
              <w:rPr>
                <w:sz w:val="18"/>
                <w:szCs w:val="18"/>
              </w:rPr>
              <w:t>R1</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926E54" w14:textId="77777777" w:rsidR="00E320D9" w:rsidRDefault="00000000">
            <w:r>
              <w:rPr>
                <w:sz w:val="18"/>
                <w:szCs w:val="18"/>
              </w:rPr>
              <w:t>Intensidad alternativa (</w:t>
            </w:r>
            <w:proofErr w:type="spellStart"/>
            <w:r>
              <w:rPr>
                <w:sz w:val="18"/>
                <w:szCs w:val="18"/>
              </w:rPr>
              <w:t>i_simple</w:t>
            </w:r>
            <w:proofErr w:type="spellEnd"/>
            <w:r>
              <w:rPr>
                <w:sz w:val="18"/>
                <w:szCs w:val="18"/>
              </w:rPr>
              <w:t>)</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9F68D3" w14:textId="77777777" w:rsidR="00E320D9" w:rsidRDefault="00000000">
            <w:pPr>
              <w:jc w:val="center"/>
            </w:pPr>
            <w:r>
              <w:rPr>
                <w:sz w:val="18"/>
                <w:szCs w:val="18"/>
              </w:rPr>
              <w:t>−1.264***</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855E77" w14:textId="77777777" w:rsidR="00E320D9" w:rsidRDefault="00000000">
            <w:pPr>
              <w:jc w:val="center"/>
            </w:pPr>
            <w:r>
              <w:rPr>
                <w:sz w:val="18"/>
                <w:szCs w:val="18"/>
              </w:rPr>
              <w:t>−0.704***</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85BFB7" w14:textId="77777777" w:rsidR="00E320D9" w:rsidRDefault="00000000">
            <w:pPr>
              <w:jc w:val="center"/>
            </w:pPr>
            <w:r>
              <w:rPr>
                <w:sz w:val="18"/>
                <w:szCs w:val="18"/>
              </w:rPr>
              <w:t>Sí</w:t>
            </w:r>
          </w:p>
        </w:tc>
      </w:tr>
      <w:tr w:rsidR="00E320D9" w14:paraId="0737B2CD"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2413F2B" w14:textId="77777777" w:rsidR="00E320D9" w:rsidRDefault="00000000">
            <w:pPr>
              <w:jc w:val="center"/>
            </w:pPr>
            <w:r>
              <w:rPr>
                <w:sz w:val="18"/>
                <w:szCs w:val="18"/>
              </w:rPr>
              <w:t>R2a</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C212B2A" w14:textId="77777777" w:rsidR="00E320D9" w:rsidRDefault="00000000">
            <w:proofErr w:type="spellStart"/>
            <w:r>
              <w:rPr>
                <w:sz w:val="18"/>
                <w:szCs w:val="18"/>
              </w:rPr>
              <w:t>D_desc</w:t>
            </w:r>
            <w:proofErr w:type="spellEnd"/>
            <w:r>
              <w:rPr>
                <w:sz w:val="18"/>
                <w:szCs w:val="18"/>
              </w:rPr>
              <w:t xml:space="preserve"> fuente SIAE</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F81BC3A" w14:textId="77777777" w:rsidR="00E320D9" w:rsidRDefault="00000000">
            <w:pPr>
              <w:jc w:val="center"/>
            </w:pPr>
            <w:r>
              <w:rPr>
                <w:sz w:val="18"/>
                <w:szCs w:val="18"/>
              </w:rPr>
              <w:t>−2.954***</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F1EF256" w14:textId="77777777" w:rsidR="00E320D9" w:rsidRDefault="00000000">
            <w:pPr>
              <w:jc w:val="center"/>
            </w:pPr>
            <w:r>
              <w:rPr>
                <w:sz w:val="18"/>
                <w:szCs w:val="18"/>
              </w:rPr>
              <w:t>−0.414†</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1438AFC" w14:textId="77777777" w:rsidR="00E320D9" w:rsidRDefault="00000000">
            <w:pPr>
              <w:jc w:val="center"/>
            </w:pPr>
            <w:r>
              <w:rPr>
                <w:sz w:val="18"/>
                <w:szCs w:val="18"/>
              </w:rPr>
              <w:t>Sí</w:t>
            </w:r>
          </w:p>
        </w:tc>
      </w:tr>
      <w:tr w:rsidR="00E320D9" w14:paraId="3BE25F3E"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D3205C" w14:textId="77777777" w:rsidR="00E320D9" w:rsidRDefault="00000000">
            <w:pPr>
              <w:jc w:val="center"/>
            </w:pPr>
            <w:r>
              <w:rPr>
                <w:sz w:val="18"/>
                <w:szCs w:val="18"/>
              </w:rPr>
              <w:t>R2b</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8D6AFA" w14:textId="77777777" w:rsidR="00E320D9" w:rsidRDefault="00000000">
            <w:proofErr w:type="spellStart"/>
            <w:r>
              <w:rPr>
                <w:sz w:val="18"/>
                <w:szCs w:val="18"/>
              </w:rPr>
              <w:t>D_desc</w:t>
            </w:r>
            <w:proofErr w:type="spellEnd"/>
            <w:r>
              <w:rPr>
                <w:sz w:val="18"/>
                <w:szCs w:val="18"/>
              </w:rPr>
              <w:t xml:space="preserve"> fuente CNH</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4DAE8B" w14:textId="77777777" w:rsidR="00E320D9" w:rsidRDefault="00000000">
            <w:pPr>
              <w:jc w:val="center"/>
            </w:pPr>
            <w:r>
              <w:rPr>
                <w:sz w:val="18"/>
                <w:szCs w:val="18"/>
              </w:rPr>
              <w:t>−6.498***</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2DED66" w14:textId="77777777" w:rsidR="00E320D9" w:rsidRDefault="00000000">
            <w:pPr>
              <w:jc w:val="center"/>
            </w:pPr>
            <w:r>
              <w:rPr>
                <w:sz w:val="18"/>
                <w:szCs w:val="18"/>
              </w:rPr>
              <w:t>−0.865†</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F95945" w14:textId="77777777" w:rsidR="00E320D9" w:rsidRDefault="00000000">
            <w:pPr>
              <w:jc w:val="center"/>
            </w:pPr>
            <w:r>
              <w:rPr>
                <w:sz w:val="18"/>
                <w:szCs w:val="18"/>
              </w:rPr>
              <w:t>Sí</w:t>
            </w:r>
          </w:p>
        </w:tc>
      </w:tr>
      <w:tr w:rsidR="00E320D9" w14:paraId="70BF9C67"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66CA9AF" w14:textId="77777777" w:rsidR="00E320D9" w:rsidRDefault="00000000">
            <w:pPr>
              <w:jc w:val="center"/>
            </w:pPr>
            <w:r>
              <w:rPr>
                <w:sz w:val="18"/>
                <w:szCs w:val="18"/>
              </w:rPr>
              <w:t>R3</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1B68873" w14:textId="77777777" w:rsidR="00E320D9" w:rsidRDefault="00000000">
            <w:r>
              <w:rPr>
                <w:sz w:val="18"/>
                <w:szCs w:val="18"/>
              </w:rPr>
              <w:t xml:space="preserve">Distribución </w:t>
            </w:r>
            <w:proofErr w:type="spellStart"/>
            <w:r>
              <w:rPr>
                <w:sz w:val="18"/>
                <w:szCs w:val="18"/>
              </w:rPr>
              <w:t>half</w:t>
            </w:r>
            <w:proofErr w:type="spellEnd"/>
            <w:r>
              <w:rPr>
                <w:sz w:val="18"/>
                <w:szCs w:val="18"/>
              </w:rPr>
              <w:t>-normal</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29D7095" w14:textId="77777777" w:rsidR="00E320D9" w:rsidRDefault="00000000">
            <w:pPr>
              <w:jc w:val="center"/>
            </w:pPr>
            <w:r>
              <w:rPr>
                <w:sz w:val="18"/>
                <w:szCs w:val="18"/>
              </w:rPr>
              <w:t>−5.245***</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CF4BE93" w14:textId="77777777" w:rsidR="00E320D9" w:rsidRDefault="00000000">
            <w:pPr>
              <w:jc w:val="center"/>
            </w:pPr>
            <w:r>
              <w:rPr>
                <w:sz w:val="18"/>
                <w:szCs w:val="18"/>
              </w:rPr>
              <w:t>−2.788***</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43FDAF5" w14:textId="77777777" w:rsidR="00E320D9" w:rsidRDefault="00000000">
            <w:pPr>
              <w:jc w:val="center"/>
            </w:pPr>
            <w:r>
              <w:rPr>
                <w:sz w:val="18"/>
                <w:szCs w:val="18"/>
              </w:rPr>
              <w:t>Sí</w:t>
            </w:r>
          </w:p>
        </w:tc>
      </w:tr>
      <w:tr w:rsidR="00E320D9" w14:paraId="69CD3275"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E00C7D" w14:textId="77777777" w:rsidR="00E320D9" w:rsidRDefault="00000000">
            <w:pPr>
              <w:jc w:val="center"/>
            </w:pPr>
            <w:r>
              <w:rPr>
                <w:sz w:val="18"/>
                <w:szCs w:val="18"/>
              </w:rPr>
              <w:t>R4</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4BCEA3" w14:textId="77777777" w:rsidR="00E320D9" w:rsidRDefault="00000000">
            <w:r>
              <w:rPr>
                <w:sz w:val="18"/>
                <w:szCs w:val="18"/>
              </w:rPr>
              <w:t>Muestra 2010–2019 (sin COVID)</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42F1AB" w14:textId="77777777" w:rsidR="00E320D9" w:rsidRDefault="00000000">
            <w:pPr>
              <w:jc w:val="center"/>
            </w:pPr>
            <w:r>
              <w:rPr>
                <w:sz w:val="18"/>
                <w:szCs w:val="18"/>
              </w:rPr>
              <w:t>−2.649***</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3E35A3" w14:textId="77777777" w:rsidR="00E320D9" w:rsidRDefault="00000000">
            <w:pPr>
              <w:jc w:val="center"/>
            </w:pPr>
            <w:r>
              <w:rPr>
                <w:sz w:val="18"/>
                <w:szCs w:val="18"/>
              </w:rPr>
              <w:t>−2.880***</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9C509B" w14:textId="77777777" w:rsidR="00E320D9" w:rsidRDefault="00000000">
            <w:pPr>
              <w:jc w:val="center"/>
            </w:pPr>
            <w:r>
              <w:rPr>
                <w:sz w:val="18"/>
                <w:szCs w:val="18"/>
              </w:rPr>
              <w:t>Sí</w:t>
            </w:r>
          </w:p>
        </w:tc>
      </w:tr>
      <w:tr w:rsidR="00E320D9" w14:paraId="3DA1123F"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015AA3E" w14:textId="77777777" w:rsidR="00E320D9" w:rsidRDefault="00000000">
            <w:pPr>
              <w:jc w:val="center"/>
            </w:pPr>
            <w:r>
              <w:rPr>
                <w:sz w:val="18"/>
                <w:szCs w:val="18"/>
              </w:rPr>
              <w:t>R5</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A30CA0A" w14:textId="77777777" w:rsidR="00E320D9" w:rsidRDefault="00000000">
            <w:r>
              <w:rPr>
                <w:sz w:val="18"/>
                <w:szCs w:val="18"/>
              </w:rPr>
              <w:t>Sin hospitales ONG</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CC3C059" w14:textId="77777777" w:rsidR="00E320D9" w:rsidRDefault="00000000">
            <w:pPr>
              <w:jc w:val="center"/>
            </w:pPr>
            <w:r>
              <w:rPr>
                <w:sz w:val="18"/>
                <w:szCs w:val="18"/>
              </w:rPr>
              <w:t>−6.009***</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CB6C7DD" w14:textId="77777777" w:rsidR="00E320D9" w:rsidRDefault="00000000">
            <w:pPr>
              <w:jc w:val="center"/>
            </w:pPr>
            <w:r>
              <w:rPr>
                <w:sz w:val="18"/>
                <w:szCs w:val="18"/>
              </w:rPr>
              <w:t>−2.730***</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B1E1F3C" w14:textId="77777777" w:rsidR="00E320D9" w:rsidRDefault="00000000">
            <w:pPr>
              <w:jc w:val="center"/>
            </w:pPr>
            <w:r>
              <w:rPr>
                <w:sz w:val="18"/>
                <w:szCs w:val="18"/>
              </w:rPr>
              <w:t>Sí</w:t>
            </w:r>
          </w:p>
        </w:tc>
      </w:tr>
    </w:tbl>
    <w:p w14:paraId="6745BF5E" w14:textId="77777777" w:rsidR="00E320D9" w:rsidRDefault="00000000">
      <w:pPr>
        <w:spacing w:before="60" w:after="120"/>
        <w:jc w:val="center"/>
      </w:pPr>
      <w:r>
        <w:rPr>
          <w:i/>
          <w:iCs/>
          <w:color w:val="595959"/>
          <w:sz w:val="18"/>
          <w:szCs w:val="18"/>
        </w:rPr>
        <w:t xml:space="preserve">Tabla 4. Robustez del coeficiente de </w:t>
      </w:r>
      <w:proofErr w:type="spellStart"/>
      <w:r>
        <w:rPr>
          <w:i/>
          <w:iCs/>
          <w:color w:val="595959"/>
          <w:sz w:val="18"/>
          <w:szCs w:val="18"/>
        </w:rPr>
        <w:t>D^desc</w:t>
      </w:r>
      <w:proofErr w:type="spellEnd"/>
      <w:r>
        <w:rPr>
          <w:i/>
          <w:iCs/>
          <w:color w:val="595959"/>
          <w:sz w:val="18"/>
          <w:szCs w:val="18"/>
        </w:rPr>
        <w:t xml:space="preserve"> (estructura organizativa) en las fronteras de cantidad e intensidad. *** p &lt; 0.001, † p &lt; 0.10. La asimetría significativa indica que α̂ ≠ δ̂ al nivel indicado.</w:t>
      </w:r>
    </w:p>
    <w:p w14:paraId="79CB7A19" w14:textId="77777777" w:rsidR="00E320D9" w:rsidRDefault="00E320D9">
      <w:pPr>
        <w:spacing w:after="80"/>
      </w:pPr>
    </w:p>
    <w:p w14:paraId="0E180214" w14:textId="77777777" w:rsidR="00E320D9" w:rsidRDefault="00000000">
      <w:pPr>
        <w:spacing w:before="80" w:after="80" w:line="276" w:lineRule="auto"/>
        <w:jc w:val="both"/>
      </w:pPr>
      <w:r>
        <w:t>La robustez de α̂₁ (P1) es notable: el coeficiente permanece negativo y significativo en las siete especificaciones. La robustez de δ̂₁ (P2) es más limitada: significativo al 5% en cinco de las siete especificaciones. Especialmente relevante es la especificación R4 (muestra 2010–2019): el coeficiente de δ̂₁ es −2.880, más próximo al predicho por el modelo que el de la especificación principal (−1.477), lo que sugiere que el período post-COVID puede haber introducido efectos de recuperación diferencial que atenúan la asimetría observada. La especificación R2b (</w:t>
      </w:r>
      <w:proofErr w:type="spellStart"/>
      <w:r>
        <w:t>D^desc</w:t>
      </w:r>
      <w:proofErr w:type="spellEnd"/>
      <w:r>
        <w:t xml:space="preserve"> con fuente CNH, más granular) produce los coeficientes más elevados en valor absoluto, coherente con la hipótesis de que el CNH identifica mejor a los hospitales genuinamente descentralizados.</w:t>
      </w:r>
    </w:p>
    <w:p w14:paraId="4A146972" w14:textId="77777777" w:rsidR="00E320D9" w:rsidRDefault="00000000">
      <w:pPr>
        <w:spacing w:before="80" w:after="80" w:line="276" w:lineRule="auto"/>
        <w:jc w:val="both"/>
      </w:pPr>
      <w:r>
        <w:t xml:space="preserve">Están pendientes de ejecución: (i) el </w:t>
      </w:r>
      <w:proofErr w:type="spellStart"/>
      <w:r>
        <w:t>bootstrap</w:t>
      </w:r>
      <w:proofErr w:type="spellEnd"/>
      <w:r>
        <w:t xml:space="preserve"> Wald con B = 4.999 para </w:t>
      </w:r>
      <w:proofErr w:type="gramStart"/>
      <w:r>
        <w:t>el test</w:t>
      </w:r>
      <w:proofErr w:type="gramEnd"/>
      <w:r>
        <w:t xml:space="preserve"> P* formal; (</w:t>
      </w:r>
      <w:proofErr w:type="spellStart"/>
      <w:r>
        <w:t>ii</w:t>
      </w:r>
      <w:proofErr w:type="spellEnd"/>
      <w:r>
        <w:t>) la estimación del sistema bivariado con cópula gaussiana (</w:t>
      </w:r>
      <w:proofErr w:type="spellStart"/>
      <w:r>
        <w:t>Kumbhakar</w:t>
      </w:r>
      <w:proofErr w:type="spellEnd"/>
      <w:r>
        <w:t xml:space="preserve">, 1997) si </w:t>
      </w:r>
      <w:proofErr w:type="gramStart"/>
      <w:r>
        <w:t>el test</w:t>
      </w:r>
      <w:proofErr w:type="gramEnd"/>
      <w:r>
        <w:t xml:space="preserve"> de independencia de ineficiencias es rechazado; y (</w:t>
      </w:r>
      <w:proofErr w:type="spellStart"/>
      <w:r>
        <w:t>iii</w:t>
      </w:r>
      <w:proofErr w:type="spellEnd"/>
      <w:r>
        <w:t xml:space="preserve">) la reestimación de todos los diseños con el </w:t>
      </w:r>
      <w:r>
        <w:lastRenderedPageBreak/>
        <w:t>Diseño A óptimo (pesos GRD diferenciados por tipo de GRD quirúrgico/médico), condicionada a la recepción de los microdatos RAE-CMBD solicitados al Ministerio de Sanidad.</w:t>
      </w:r>
    </w:p>
    <w:p w14:paraId="0C1E0C64" w14:textId="77777777" w:rsidR="00E320D9" w:rsidRDefault="00000000">
      <w:pPr>
        <w:pStyle w:val="Ttulo1"/>
      </w:pPr>
      <w:r>
        <w:t>6. Implicaciones de política hospitalaria</w:t>
      </w:r>
    </w:p>
    <w:p w14:paraId="77CE00DC" w14:textId="77777777" w:rsidR="00E320D9" w:rsidRDefault="00000000">
      <w:pPr>
        <w:spacing w:before="80" w:after="80" w:line="276" w:lineRule="auto"/>
        <w:jc w:val="both"/>
      </w:pPr>
      <w:r>
        <w:t>Los resultados de la tesis tienen implicaciones directas para el diseño institucional del sistema hospitalario y para la regulación de la gestión privada de hospitales públicos. La evidencia empírica confirma que la estructura organizativa —centralizada versus descentralizada— tiene efectos estadísticamente significativos y cualitativamente distintos sobre las dos dimensiones del output hospitalario. Un enfoque de política de «talla única» —ya sea centralización total o descentralización generalizada— ignora esta multidimensionalidad.</w:t>
      </w:r>
    </w:p>
    <w:p w14:paraId="35040264" w14:textId="77777777" w:rsidR="00E320D9" w:rsidRDefault="00000000">
      <w:pPr>
        <w:spacing w:before="80" w:after="80" w:line="276" w:lineRule="auto"/>
        <w:jc w:val="both"/>
      </w:pPr>
      <w:r>
        <w:t>Las implicaciones concretas, derivadas directamente del modelo teórico y de los resultados empíricos, son las siguientes:</w:t>
      </w:r>
    </w:p>
    <w:p w14:paraId="75DC8394" w14:textId="77777777" w:rsidR="00E320D9" w:rsidRDefault="00E320D9"/>
    <w:p w14:paraId="27B0A906" w14:textId="77777777" w:rsidR="00E320D9" w:rsidRDefault="00000000">
      <w:pPr>
        <w:pStyle w:val="Prrafodelista"/>
        <w:numPr>
          <w:ilvl w:val="0"/>
          <w:numId w:val="2"/>
        </w:numPr>
        <w:spacing w:before="60" w:after="60" w:line="264" w:lineRule="auto"/>
        <w:jc w:val="both"/>
      </w:pPr>
      <w:r>
        <w:rPr>
          <w:b/>
          <w:bCs/>
        </w:rPr>
        <w:t xml:space="preserve">Evaluación multidimensional del rendimiento hospitalario: </w:t>
      </w:r>
      <w:r>
        <w:t>los sistemas de evaluación de la eficiencia deberían incorporar medidas separadas de eficiencia en volumen y en intensidad diagnóstico-terapéutica. Una métrica de eficiencia global agrega efectos de signo contrario y puede confundir a los reguladores sobre el desempeño real de los hospitales descentralizados. El diseño de esta tesis —sistema de dos fronteras estocásticas— puede implementarse con los datos disponibles del SIAE y del CMBD como herramienta de regulación por comparación (</w:t>
      </w:r>
      <w:proofErr w:type="spellStart"/>
      <w:r>
        <w:t>yardstick</w:t>
      </w:r>
      <w:proofErr w:type="spellEnd"/>
      <w:r>
        <w:t xml:space="preserve"> </w:t>
      </w:r>
      <w:proofErr w:type="spellStart"/>
      <w:r>
        <w:t>competition</w:t>
      </w:r>
      <w:proofErr w:type="spellEnd"/>
      <w:r>
        <w:t>).</w:t>
      </w:r>
    </w:p>
    <w:p w14:paraId="3F510028" w14:textId="77777777" w:rsidR="00E320D9" w:rsidRDefault="00000000">
      <w:pPr>
        <w:pStyle w:val="Prrafodelista"/>
        <w:numPr>
          <w:ilvl w:val="0"/>
          <w:numId w:val="2"/>
        </w:numPr>
        <w:spacing w:before="60" w:after="60" w:line="264" w:lineRule="auto"/>
        <w:jc w:val="both"/>
      </w:pPr>
      <w:r>
        <w:rPr>
          <w:b/>
          <w:bCs/>
        </w:rPr>
        <w:t xml:space="preserve">Extensión del pago por actividad diferenciado: </w:t>
      </w:r>
      <w:r>
        <w:t xml:space="preserve">el coeficiente de </w:t>
      </w:r>
      <w:proofErr w:type="spellStart"/>
      <w:r>
        <w:t>pct^SNS</w:t>
      </w:r>
      <w:proofErr w:type="spellEnd"/>
      <w:r>
        <w:t xml:space="preserve"> sugiere que una mayor proporción de financiación por actividad reduce la ineficiencia en ambas dimensiones. La extensión del sistema de pago por GRD a toda la red concertada, con tarifas que diferencien entre servicios quirúrgicos y médicos, es la medida con mayor apoyo empírico en los resultados.</w:t>
      </w:r>
    </w:p>
    <w:p w14:paraId="217FC21E" w14:textId="77777777" w:rsidR="00E320D9" w:rsidRDefault="00000000">
      <w:pPr>
        <w:pStyle w:val="Prrafodelista"/>
        <w:numPr>
          <w:ilvl w:val="0"/>
          <w:numId w:val="2"/>
        </w:numPr>
        <w:spacing w:before="60" w:after="60" w:line="264" w:lineRule="auto"/>
        <w:jc w:val="both"/>
      </w:pPr>
      <w:r>
        <w:rPr>
          <w:b/>
          <w:bCs/>
        </w:rPr>
        <w:t xml:space="preserve">Inclusión de indicadores de intensidad en los contratos-programa: </w:t>
      </w:r>
      <w:r>
        <w:t>los contratos-programa autonómicos deberían incluir indicadores verificables de intensidad diagnóstico-terapéutica (número de procedimientos por alta, tasa de diagnóstico por imagen, estancia media ajustada por severidad) vinculados a una parte de la financiación, para contrarrestar el efecto de sustitución de esfuerzo predicho por el modelo cuando ψ₁₂ &gt; 0.</w:t>
      </w:r>
    </w:p>
    <w:p w14:paraId="3D46CC98" w14:textId="77777777" w:rsidR="00E320D9" w:rsidRDefault="00000000">
      <w:pPr>
        <w:pStyle w:val="Prrafodelista"/>
        <w:numPr>
          <w:ilvl w:val="0"/>
          <w:numId w:val="2"/>
        </w:numPr>
        <w:spacing w:before="60" w:after="60" w:line="264" w:lineRule="auto"/>
        <w:jc w:val="both"/>
      </w:pPr>
      <w:r>
        <w:rPr>
          <w:b/>
          <w:bCs/>
        </w:rPr>
        <w:t xml:space="preserve">Cláusulas de calidad en contratos de concesión: </w:t>
      </w:r>
      <w:r>
        <w:t xml:space="preserve">para hospitales en régimen de concesión administrativa, los pliegos de condiciones deberían incluir umbrales mínimos verificables de intensidad diagnóstica y auditoría periódica de su cumplimiento. Los resultados sugieren que los mecanismos institucionales de control de calidad ya existentes (acreditación autonómica) limitan el deterioro de la </w:t>
      </w:r>
      <w:proofErr w:type="gramStart"/>
      <w:r>
        <w:t>intensidad</w:t>
      </w:r>
      <w:proofErr w:type="gramEnd"/>
      <w:r>
        <w:t xml:space="preserve"> pero no lo eliminan.</w:t>
      </w:r>
    </w:p>
    <w:p w14:paraId="6023B8EF" w14:textId="77777777" w:rsidR="00E320D9" w:rsidRDefault="00000000">
      <w:pPr>
        <w:pStyle w:val="Prrafodelista"/>
        <w:numPr>
          <w:ilvl w:val="0"/>
          <w:numId w:val="2"/>
        </w:numPr>
        <w:spacing w:before="60" w:after="60" w:line="264" w:lineRule="auto"/>
        <w:jc w:val="both"/>
      </w:pPr>
      <w:r>
        <w:rPr>
          <w:b/>
          <w:bCs/>
        </w:rPr>
        <w:t xml:space="preserve">Diseño de reformas de descentralización: </w:t>
      </w:r>
      <w:r>
        <w:t>la evidencia es consistente con efectos causales del modelo teórico, pero no los establece de forma concluyente (la asignación de hospitales a formas descentralizadas no es aleatoria). Para establecer causalidad y fundamentar recomendaciones de política a gran escala, sería necesario explotar variación exógena derivada de cambios normativos autonómicos como las reversiones de concesiones en la Comunidad Valenciana y Madrid.</w:t>
      </w:r>
    </w:p>
    <w:p w14:paraId="557AA13C" w14:textId="77777777" w:rsidR="00E320D9" w:rsidRDefault="00E320D9">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320D9" w14:paraId="748B69BD" w14:textId="77777777">
        <w:tblPrEx>
          <w:tblCellMar>
            <w:top w:w="0" w:type="dxa"/>
            <w:bottom w:w="0" w:type="dxa"/>
          </w:tblCellMar>
        </w:tblPrEx>
        <w:tc>
          <w:tcPr>
            <w:tcW w:w="9200" w:type="dxa"/>
            <w:tcBorders>
              <w:top w:val="single" w:sz="4" w:space="0" w:color="1F4E79"/>
              <w:left w:val="thick" w:sz="12" w:space="0" w:color="1F4E79"/>
              <w:bottom w:val="single" w:sz="4" w:space="0" w:color="1F4E79"/>
              <w:right w:val="single" w:sz="4" w:space="0" w:color="1F4E79"/>
            </w:tcBorders>
            <w:shd w:val="clear" w:color="auto" w:fill="EBF3FB"/>
            <w:tcMar>
              <w:top w:w="120" w:type="dxa"/>
              <w:left w:w="200" w:type="dxa"/>
              <w:bottom w:w="120" w:type="dxa"/>
              <w:right w:w="120" w:type="dxa"/>
            </w:tcMar>
          </w:tcPr>
          <w:p w14:paraId="5C8850AA" w14:textId="77777777" w:rsidR="00E320D9" w:rsidRDefault="00000000">
            <w:pPr>
              <w:jc w:val="both"/>
            </w:pPr>
            <w:r>
              <w:rPr>
                <w:i/>
                <w:iCs/>
                <w:color w:val="1F4E79"/>
                <w:sz w:val="20"/>
                <w:szCs w:val="20"/>
              </w:rPr>
              <w:t xml:space="preserve">Síntesis de política: los resultados apuntan a que la clave no es elegir entre centralización y descentralización, sino diseñar contratos hospitalarios que aprovechen las ventajas de la descentralización en volumen (P1 confirmada) mientras se incorporan mecanismos institucionales que contrarresten su desventaja en intensidad (P2 confirmada en sentido débil). El tipo de pago y el </w:t>
            </w:r>
            <w:proofErr w:type="spellStart"/>
            <w:r>
              <w:rPr>
                <w:i/>
                <w:iCs/>
                <w:color w:val="1F4E79"/>
                <w:sz w:val="20"/>
                <w:szCs w:val="20"/>
              </w:rPr>
              <w:t>mix</w:t>
            </w:r>
            <w:proofErr w:type="spellEnd"/>
            <w:r>
              <w:rPr>
                <w:i/>
                <w:iCs/>
                <w:color w:val="1F4E79"/>
                <w:sz w:val="20"/>
                <w:szCs w:val="20"/>
              </w:rPr>
              <w:t xml:space="preserve"> de servicios quirúrgico/médico del hospital son los moderadores institucionales que el diseño de contratos debería tener en cuenta.</w:t>
            </w:r>
          </w:p>
        </w:tc>
      </w:tr>
    </w:tbl>
    <w:p w14:paraId="23646BA7" w14:textId="77777777" w:rsidR="00E320D9" w:rsidRDefault="00E320D9">
      <w:pPr>
        <w:spacing w:after="80"/>
      </w:pPr>
    </w:p>
    <w:p w14:paraId="5E82A009" w14:textId="77777777" w:rsidR="00E320D9" w:rsidRDefault="00000000">
      <w:pPr>
        <w:pStyle w:val="Ttulo1"/>
      </w:pPr>
      <w:r>
        <w:t>7. Estado actual y estructura de la tesis</w:t>
      </w:r>
    </w:p>
    <w:p w14:paraId="54426637" w14:textId="77777777" w:rsidR="00E320D9" w:rsidRDefault="00000000">
      <w:pPr>
        <w:spacing w:before="80" w:after="80" w:line="276" w:lineRule="auto"/>
        <w:jc w:val="both"/>
      </w:pPr>
      <w:r>
        <w:t xml:space="preserve">La tesis está estructurada en ocho capítulos y tres anexos. El modelo teórico (Capítulo 2) y la estrategia empírica (Capítulo 3) están completos. Los capítulos de datos (4), resultados (5) y robustez (6) recogen los resultados actualmente disponibles; el capítulo de política hospitalaria (7) y el capítulo de conclusiones (8) están redactados. Las tareas pendientes son: ejecutar el </w:t>
      </w:r>
      <w:proofErr w:type="spellStart"/>
      <w:r>
        <w:t>bootstrap</w:t>
      </w:r>
      <w:proofErr w:type="spellEnd"/>
      <w:r>
        <w:t xml:space="preserve"> Wald definitivo (B = 4.999), implementar el sistema bivariado con cópula gaussiana si procede, y extender el Diseño A con los datos CMBD pendientes de recepción del Ministerio de Sanidad.</w:t>
      </w:r>
    </w:p>
    <w:p w14:paraId="125829DE" w14:textId="77777777" w:rsidR="00E320D9" w:rsidRDefault="00E320D9">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500"/>
        <w:gridCol w:w="3500"/>
      </w:tblGrid>
      <w:tr w:rsidR="00E320D9" w14:paraId="4AB01B12"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B4AF3FA" w14:textId="77777777" w:rsidR="00E320D9" w:rsidRDefault="00000000">
            <w:pPr>
              <w:jc w:val="center"/>
            </w:pPr>
            <w:r>
              <w:rPr>
                <w:b/>
                <w:bCs/>
                <w:color w:val="FFFFFF"/>
                <w:sz w:val="18"/>
                <w:szCs w:val="18"/>
              </w:rPr>
              <w:t>Tarea</w:t>
            </w:r>
          </w:p>
        </w:tc>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57E9EDA" w14:textId="77777777" w:rsidR="00E320D9" w:rsidRDefault="00000000">
            <w:pPr>
              <w:jc w:val="center"/>
            </w:pPr>
            <w:r>
              <w:rPr>
                <w:b/>
                <w:bCs/>
                <w:color w:val="FFFFFF"/>
                <w:sz w:val="18"/>
                <w:szCs w:val="18"/>
              </w:rPr>
              <w:t>Prioridad</w:t>
            </w:r>
          </w:p>
        </w:tc>
        <w:tc>
          <w:tcPr>
            <w:tcW w:w="3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5A0F3A7" w14:textId="77777777" w:rsidR="00E320D9" w:rsidRDefault="00000000">
            <w:pPr>
              <w:jc w:val="center"/>
            </w:pPr>
            <w:r>
              <w:rPr>
                <w:b/>
                <w:bCs/>
                <w:color w:val="FFFFFF"/>
                <w:sz w:val="18"/>
                <w:szCs w:val="18"/>
              </w:rPr>
              <w:t>Estado</w:t>
            </w:r>
          </w:p>
        </w:tc>
      </w:tr>
      <w:tr w:rsidR="00E320D9" w14:paraId="0EFE3695"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0B4D5D" w14:textId="77777777" w:rsidR="00E320D9" w:rsidRDefault="00000000">
            <w:r>
              <w:rPr>
                <w:sz w:val="18"/>
                <w:szCs w:val="18"/>
              </w:rPr>
              <w:t>Bootstrap Wald P* (B=4.999)</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A3E219" w14:textId="77777777" w:rsidR="00E320D9" w:rsidRDefault="00000000">
            <w:pPr>
              <w:jc w:val="center"/>
            </w:pPr>
            <w:r>
              <w:rPr>
                <w:sz w:val="18"/>
                <w:szCs w:val="18"/>
              </w:rPr>
              <w:t>ALTA</w:t>
            </w:r>
          </w:p>
        </w:tc>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258F7A" w14:textId="77777777" w:rsidR="00E320D9" w:rsidRDefault="00000000">
            <w:r>
              <w:rPr>
                <w:sz w:val="18"/>
                <w:szCs w:val="18"/>
              </w:rPr>
              <w:t>Pendiente — ~6h cómputo</w:t>
            </w:r>
          </w:p>
        </w:tc>
      </w:tr>
      <w:tr w:rsidR="00E320D9" w14:paraId="396A9AF2"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9809DF6" w14:textId="77777777" w:rsidR="00E320D9" w:rsidRDefault="00000000">
            <w:r>
              <w:rPr>
                <w:sz w:val="18"/>
                <w:szCs w:val="18"/>
              </w:rPr>
              <w:t>Sistema bivariado con cópula gaussiana</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638CA2B" w14:textId="77777777" w:rsidR="00E320D9" w:rsidRDefault="00000000">
            <w:pPr>
              <w:jc w:val="center"/>
            </w:pPr>
            <w:r>
              <w:rPr>
                <w:sz w:val="18"/>
                <w:szCs w:val="18"/>
              </w:rPr>
              <w:t>ALTA</w:t>
            </w:r>
          </w:p>
        </w:tc>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BB0D1BA" w14:textId="77777777" w:rsidR="00E320D9" w:rsidRDefault="00000000">
            <w:r>
              <w:rPr>
                <w:sz w:val="18"/>
                <w:szCs w:val="18"/>
              </w:rPr>
              <w:t xml:space="preserve">Pendiente — depende </w:t>
            </w:r>
            <w:proofErr w:type="gramStart"/>
            <w:r>
              <w:rPr>
                <w:sz w:val="18"/>
                <w:szCs w:val="18"/>
              </w:rPr>
              <w:t>de test</w:t>
            </w:r>
            <w:proofErr w:type="gramEnd"/>
            <w:r>
              <w:rPr>
                <w:sz w:val="18"/>
                <w:szCs w:val="18"/>
              </w:rPr>
              <w:t xml:space="preserve"> ρ</w:t>
            </w:r>
          </w:p>
        </w:tc>
      </w:tr>
      <w:tr w:rsidR="00E320D9" w14:paraId="4CD9B20A"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C70F9A" w14:textId="77777777" w:rsidR="00E320D9" w:rsidRDefault="00000000">
            <w:r>
              <w:rPr>
                <w:sz w:val="18"/>
                <w:szCs w:val="18"/>
              </w:rPr>
              <w:t>Diseño A con pesos GRD diferenciados Q/M</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AE710A" w14:textId="77777777" w:rsidR="00E320D9" w:rsidRDefault="00000000">
            <w:pPr>
              <w:jc w:val="center"/>
            </w:pPr>
            <w:r>
              <w:rPr>
                <w:sz w:val="18"/>
                <w:szCs w:val="18"/>
              </w:rPr>
              <w:t>ALTA</w:t>
            </w:r>
          </w:p>
        </w:tc>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3394A0" w14:textId="77777777" w:rsidR="00E320D9" w:rsidRDefault="00000000">
            <w:r>
              <w:rPr>
                <w:sz w:val="18"/>
                <w:szCs w:val="18"/>
              </w:rPr>
              <w:t>Pendiente — espera RAE-CMBD</w:t>
            </w:r>
          </w:p>
        </w:tc>
      </w:tr>
      <w:tr w:rsidR="00E320D9" w14:paraId="0F2284C4"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6900365" w14:textId="77777777" w:rsidR="00E320D9" w:rsidRDefault="00000000">
            <w:r>
              <w:rPr>
                <w:sz w:val="18"/>
                <w:szCs w:val="18"/>
              </w:rPr>
              <w:t xml:space="preserve">Control </w:t>
            </w:r>
            <w:proofErr w:type="spellStart"/>
            <w:r>
              <w:rPr>
                <w:sz w:val="18"/>
                <w:szCs w:val="18"/>
              </w:rPr>
              <w:t>dummies</w:t>
            </w:r>
            <w:proofErr w:type="spellEnd"/>
            <w:r>
              <w:rPr>
                <w:sz w:val="18"/>
                <w:szCs w:val="18"/>
              </w:rPr>
              <w:t xml:space="preserve"> COVID en muestra principal</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DDF2AC1" w14:textId="77777777" w:rsidR="00E320D9" w:rsidRDefault="00000000">
            <w:pPr>
              <w:jc w:val="center"/>
            </w:pPr>
            <w:r>
              <w:rPr>
                <w:sz w:val="18"/>
                <w:szCs w:val="18"/>
              </w:rPr>
              <w:t>MEDIA</w:t>
            </w:r>
          </w:p>
        </w:tc>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57831FD" w14:textId="77777777" w:rsidR="00E320D9" w:rsidRDefault="00000000">
            <w:r>
              <w:rPr>
                <w:sz w:val="18"/>
                <w:szCs w:val="18"/>
              </w:rPr>
              <w:t>Estimación R4 disponible</w:t>
            </w:r>
          </w:p>
        </w:tc>
      </w:tr>
      <w:tr w:rsidR="00E320D9" w14:paraId="37432069"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4BFC1D" w14:textId="77777777" w:rsidR="00E320D9" w:rsidRDefault="00000000">
            <w:r>
              <w:rPr>
                <w:sz w:val="18"/>
                <w:szCs w:val="18"/>
              </w:rPr>
              <w:t>Diseño D (ODF): resolver SE=NaN</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13C51F" w14:textId="77777777" w:rsidR="00E320D9" w:rsidRDefault="00000000">
            <w:pPr>
              <w:jc w:val="center"/>
            </w:pPr>
            <w:r>
              <w:rPr>
                <w:sz w:val="18"/>
                <w:szCs w:val="18"/>
              </w:rPr>
              <w:t>BAJA</w:t>
            </w:r>
          </w:p>
        </w:tc>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7DEEE8" w14:textId="77777777" w:rsidR="00E320D9" w:rsidRDefault="00000000">
            <w:r>
              <w:rPr>
                <w:sz w:val="18"/>
                <w:szCs w:val="18"/>
              </w:rPr>
              <w:t>Orientativo — baja prioridad</w:t>
            </w:r>
          </w:p>
        </w:tc>
      </w:tr>
    </w:tbl>
    <w:p w14:paraId="253F25BA" w14:textId="77777777" w:rsidR="00E320D9" w:rsidRDefault="00000000">
      <w:pPr>
        <w:spacing w:before="60" w:after="120"/>
        <w:jc w:val="center"/>
      </w:pPr>
      <w:r>
        <w:rPr>
          <w:i/>
          <w:iCs/>
          <w:color w:val="595959"/>
          <w:sz w:val="18"/>
          <w:szCs w:val="18"/>
        </w:rPr>
        <w:t>Tabla 5. Tareas pendientes por orden de prioridad.</w:t>
      </w:r>
    </w:p>
    <w:p w14:paraId="02971249" w14:textId="77777777" w:rsidR="00E320D9" w:rsidRDefault="00E320D9">
      <w:pPr>
        <w:spacing w:after="160"/>
      </w:pPr>
    </w:p>
    <w:p w14:paraId="78A53975" w14:textId="77777777" w:rsidR="00E320D9" w:rsidRDefault="00000000">
      <w:pPr>
        <w:pBdr>
          <w:top w:val="single" w:sz="4" w:space="1" w:color="1F4E79"/>
        </w:pBdr>
        <w:spacing w:before="240" w:after="120"/>
        <w:jc w:val="center"/>
      </w:pPr>
      <w:r>
        <w:rPr>
          <w:i/>
          <w:iCs/>
          <w:color w:val="595959"/>
          <w:sz w:val="18"/>
          <w:szCs w:val="18"/>
        </w:rPr>
        <w:t xml:space="preserve">Documento de trabajo — </w:t>
      </w:r>
      <w:proofErr w:type="gramStart"/>
      <w:r>
        <w:rPr>
          <w:i/>
          <w:iCs/>
          <w:color w:val="595959"/>
          <w:sz w:val="18"/>
          <w:szCs w:val="18"/>
        </w:rPr>
        <w:t>Marzo</w:t>
      </w:r>
      <w:proofErr w:type="gramEnd"/>
      <w:r>
        <w:rPr>
          <w:i/>
          <w:iCs/>
          <w:color w:val="595959"/>
          <w:sz w:val="18"/>
          <w:szCs w:val="18"/>
        </w:rPr>
        <w:t xml:space="preserve"> 2026 — José María Elena Izquierdo</w:t>
      </w:r>
    </w:p>
    <w:sectPr w:rsidR="00E320D9">
      <w:pgSz w:w="11906" w:h="16838"/>
      <w:pgMar w:top="1200" w:right="1200" w:bottom="1200" w:left="14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96752"/>
    <w:multiLevelType w:val="hybridMultilevel"/>
    <w:tmpl w:val="4D866CFA"/>
    <w:lvl w:ilvl="0" w:tplc="30548620">
      <w:start w:val="1"/>
      <w:numFmt w:val="bullet"/>
      <w:lvlText w:val="●"/>
      <w:lvlJc w:val="left"/>
      <w:pPr>
        <w:ind w:left="720" w:hanging="360"/>
      </w:pPr>
    </w:lvl>
    <w:lvl w:ilvl="1" w:tplc="DEAC18DE">
      <w:start w:val="1"/>
      <w:numFmt w:val="bullet"/>
      <w:lvlText w:val="○"/>
      <w:lvlJc w:val="left"/>
      <w:pPr>
        <w:ind w:left="1440" w:hanging="360"/>
      </w:pPr>
    </w:lvl>
    <w:lvl w:ilvl="2" w:tplc="54FA75EA">
      <w:start w:val="1"/>
      <w:numFmt w:val="bullet"/>
      <w:lvlText w:val="■"/>
      <w:lvlJc w:val="left"/>
      <w:pPr>
        <w:ind w:left="2160" w:hanging="360"/>
      </w:pPr>
    </w:lvl>
    <w:lvl w:ilvl="3" w:tplc="12EEA72A">
      <w:start w:val="1"/>
      <w:numFmt w:val="bullet"/>
      <w:lvlText w:val="●"/>
      <w:lvlJc w:val="left"/>
      <w:pPr>
        <w:ind w:left="2880" w:hanging="360"/>
      </w:pPr>
    </w:lvl>
    <w:lvl w:ilvl="4" w:tplc="AA5AC9C8">
      <w:start w:val="1"/>
      <w:numFmt w:val="bullet"/>
      <w:lvlText w:val="○"/>
      <w:lvlJc w:val="left"/>
      <w:pPr>
        <w:ind w:left="3600" w:hanging="360"/>
      </w:pPr>
    </w:lvl>
    <w:lvl w:ilvl="5" w:tplc="AC8C04B0">
      <w:start w:val="1"/>
      <w:numFmt w:val="bullet"/>
      <w:lvlText w:val="■"/>
      <w:lvlJc w:val="left"/>
      <w:pPr>
        <w:ind w:left="4320" w:hanging="360"/>
      </w:pPr>
    </w:lvl>
    <w:lvl w:ilvl="6" w:tplc="458EB106">
      <w:start w:val="1"/>
      <w:numFmt w:val="bullet"/>
      <w:lvlText w:val="●"/>
      <w:lvlJc w:val="left"/>
      <w:pPr>
        <w:ind w:left="5040" w:hanging="360"/>
      </w:pPr>
    </w:lvl>
    <w:lvl w:ilvl="7" w:tplc="9F9A4EBC">
      <w:start w:val="1"/>
      <w:numFmt w:val="bullet"/>
      <w:lvlText w:val="●"/>
      <w:lvlJc w:val="left"/>
      <w:pPr>
        <w:ind w:left="5760" w:hanging="360"/>
      </w:pPr>
    </w:lvl>
    <w:lvl w:ilvl="8" w:tplc="11C04A28">
      <w:start w:val="1"/>
      <w:numFmt w:val="bullet"/>
      <w:lvlText w:val="●"/>
      <w:lvlJc w:val="left"/>
      <w:pPr>
        <w:ind w:left="6480" w:hanging="360"/>
      </w:pPr>
    </w:lvl>
  </w:abstractNum>
  <w:abstractNum w:abstractNumId="1" w15:restartNumberingAfterBreak="0">
    <w:nsid w:val="2B7437ED"/>
    <w:multiLevelType w:val="hybridMultilevel"/>
    <w:tmpl w:val="7CBEEE3E"/>
    <w:lvl w:ilvl="0" w:tplc="5168564A">
      <w:start w:val="1"/>
      <w:numFmt w:val="bullet"/>
      <w:lvlText w:val="–"/>
      <w:lvlJc w:val="left"/>
      <w:pPr>
        <w:ind w:left="560" w:hanging="280"/>
      </w:pPr>
    </w:lvl>
    <w:lvl w:ilvl="1" w:tplc="B2342486">
      <w:numFmt w:val="decimal"/>
      <w:lvlText w:val=""/>
      <w:lvlJc w:val="left"/>
    </w:lvl>
    <w:lvl w:ilvl="2" w:tplc="85B4EC34">
      <w:numFmt w:val="decimal"/>
      <w:lvlText w:val=""/>
      <w:lvlJc w:val="left"/>
    </w:lvl>
    <w:lvl w:ilvl="3" w:tplc="15B04F9A">
      <w:numFmt w:val="decimal"/>
      <w:lvlText w:val=""/>
      <w:lvlJc w:val="left"/>
    </w:lvl>
    <w:lvl w:ilvl="4" w:tplc="206AF50C">
      <w:numFmt w:val="decimal"/>
      <w:lvlText w:val=""/>
      <w:lvlJc w:val="left"/>
    </w:lvl>
    <w:lvl w:ilvl="5" w:tplc="8D580F2C">
      <w:numFmt w:val="decimal"/>
      <w:lvlText w:val=""/>
      <w:lvlJc w:val="left"/>
    </w:lvl>
    <w:lvl w:ilvl="6" w:tplc="843098A4">
      <w:numFmt w:val="decimal"/>
      <w:lvlText w:val=""/>
      <w:lvlJc w:val="left"/>
    </w:lvl>
    <w:lvl w:ilvl="7" w:tplc="649AF496">
      <w:numFmt w:val="decimal"/>
      <w:lvlText w:val=""/>
      <w:lvlJc w:val="left"/>
    </w:lvl>
    <w:lvl w:ilvl="8" w:tplc="C6C4054A">
      <w:numFmt w:val="decimal"/>
      <w:lvlText w:val=""/>
      <w:lvlJc w:val="left"/>
    </w:lvl>
  </w:abstractNum>
  <w:abstractNum w:abstractNumId="2" w15:restartNumberingAfterBreak="0">
    <w:nsid w:val="6A0D4A59"/>
    <w:multiLevelType w:val="hybridMultilevel"/>
    <w:tmpl w:val="D7B28AB6"/>
    <w:lvl w:ilvl="0" w:tplc="00B09D08">
      <w:start w:val="1"/>
      <w:numFmt w:val="decimal"/>
      <w:lvlText w:val="%1."/>
      <w:lvlJc w:val="left"/>
      <w:pPr>
        <w:ind w:left="560" w:hanging="280"/>
      </w:pPr>
    </w:lvl>
    <w:lvl w:ilvl="1" w:tplc="E5E2ADF0">
      <w:numFmt w:val="decimal"/>
      <w:lvlText w:val=""/>
      <w:lvlJc w:val="left"/>
    </w:lvl>
    <w:lvl w:ilvl="2" w:tplc="8110C824">
      <w:numFmt w:val="decimal"/>
      <w:lvlText w:val=""/>
      <w:lvlJc w:val="left"/>
    </w:lvl>
    <w:lvl w:ilvl="3" w:tplc="81A4CE20">
      <w:numFmt w:val="decimal"/>
      <w:lvlText w:val=""/>
      <w:lvlJc w:val="left"/>
    </w:lvl>
    <w:lvl w:ilvl="4" w:tplc="2F680290">
      <w:numFmt w:val="decimal"/>
      <w:lvlText w:val=""/>
      <w:lvlJc w:val="left"/>
    </w:lvl>
    <w:lvl w:ilvl="5" w:tplc="A81008D0">
      <w:numFmt w:val="decimal"/>
      <w:lvlText w:val=""/>
      <w:lvlJc w:val="left"/>
    </w:lvl>
    <w:lvl w:ilvl="6" w:tplc="8CE6C64E">
      <w:numFmt w:val="decimal"/>
      <w:lvlText w:val=""/>
      <w:lvlJc w:val="left"/>
    </w:lvl>
    <w:lvl w:ilvl="7" w:tplc="3118CBE8">
      <w:numFmt w:val="decimal"/>
      <w:lvlText w:val=""/>
      <w:lvlJc w:val="left"/>
    </w:lvl>
    <w:lvl w:ilvl="8" w:tplc="FAB6B902">
      <w:numFmt w:val="decimal"/>
      <w:lvlText w:val=""/>
      <w:lvlJc w:val="left"/>
    </w:lvl>
  </w:abstractNum>
  <w:num w:numId="1" w16cid:durableId="300231291">
    <w:abstractNumId w:val="0"/>
    <w:lvlOverride w:ilvl="0">
      <w:startOverride w:val="1"/>
    </w:lvlOverride>
  </w:num>
  <w:num w:numId="2" w16cid:durableId="430628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0D9"/>
    <w:rsid w:val="00174E7A"/>
    <w:rsid w:val="001C71F0"/>
    <w:rsid w:val="002E4C4A"/>
    <w:rsid w:val="00E320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508A4"/>
  <w15:docId w15:val="{441D61A2-0CE6-4E0F-8665-57E985E69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4E79"/>
      <w:sz w:val="28"/>
      <w:szCs w:val="28"/>
    </w:rPr>
  </w:style>
  <w:style w:type="paragraph" w:styleId="Ttulo2">
    <w:name w:val="heading 2"/>
    <w:uiPriority w:val="9"/>
    <w:unhideWhenUsed/>
    <w:qFormat/>
    <w:pPr>
      <w:spacing w:before="240" w:after="120"/>
      <w:outlineLvl w:val="1"/>
    </w:pPr>
    <w:rPr>
      <w:b/>
      <w:bCs/>
      <w:color w:val="2E6DA4"/>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3559</Words>
  <Characters>19577</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M Elena</cp:lastModifiedBy>
  <cp:revision>3</cp:revision>
  <dcterms:created xsi:type="dcterms:W3CDTF">2026-03-24T21:08:00Z</dcterms:created>
  <dcterms:modified xsi:type="dcterms:W3CDTF">2026-03-24T21:22:00Z</dcterms:modified>
</cp:coreProperties>
</file>