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FD7" w:rsidRDefault="00994FD7">
      <w:pPr>
        <w:pStyle w:val="Overskrift1"/>
        <w:jc w:val="center"/>
        <w:rPr>
          <w:b/>
          <w:sz w:val="44"/>
        </w:rPr>
      </w:pPr>
      <w:r>
        <w:rPr>
          <w:b/>
          <w:sz w:val="44"/>
        </w:rPr>
        <w:t>Forvaltningsrett</w:t>
      </w:r>
    </w:p>
    <w:p w:rsidR="00994FD7" w:rsidRDefault="00E23FB8">
      <w:pPr>
        <w:jc w:val="center"/>
        <w:rPr>
          <w:sz w:val="32"/>
        </w:rPr>
      </w:pPr>
      <w:r>
        <w:rPr>
          <w:sz w:val="32"/>
        </w:rPr>
        <w:t>Kap. 5</w:t>
      </w:r>
    </w:p>
    <w:p w:rsidR="00994FD7" w:rsidRDefault="006655BF">
      <w:pPr>
        <w:pStyle w:val="Brdtekst"/>
      </w:pPr>
      <w:r>
        <w:t xml:space="preserve"> </w:t>
      </w:r>
      <w:r w:rsidR="00BD31C0">
        <w:t xml:space="preserve"> </w:t>
      </w:r>
    </w:p>
    <w:p w:rsidR="00FF6E24" w:rsidRDefault="00F32E0F">
      <w:pPr>
        <w:pStyle w:val="Brdtekst"/>
      </w:pPr>
      <w:r>
        <w:t xml:space="preserve"> </w:t>
      </w:r>
      <w:r w:rsidR="007C763F">
        <w:t xml:space="preserve"> </w:t>
      </w:r>
      <w:r w:rsidR="00326A13">
        <w:t xml:space="preserve"> </w:t>
      </w:r>
      <w:r w:rsidR="00104A7A">
        <w:t xml:space="preserve"> </w:t>
      </w:r>
      <w:bookmarkStart w:id="0" w:name="_GoBack"/>
      <w:bookmarkEnd w:id="0"/>
    </w:p>
    <w:p w:rsidR="00994FD7" w:rsidRDefault="00994FD7" w:rsidP="00FF6E24">
      <w:pPr>
        <w:pStyle w:val="Brdtekst"/>
        <w:jc w:val="center"/>
      </w:pPr>
      <w:r>
        <w:rPr>
          <w:b/>
        </w:rPr>
        <w:t>Målsetting med kapittelet</w:t>
      </w:r>
    </w:p>
    <w:p w:rsidR="00FF6E24" w:rsidRDefault="000F6D1A" w:rsidP="00FF6E24">
      <w:pPr>
        <w:pStyle w:val="Brdtekst"/>
        <w:ind w:left="75"/>
      </w:pPr>
      <w:r>
        <w:t xml:space="preserve"> </w:t>
      </w:r>
    </w:p>
    <w:p w:rsidR="00994FD7" w:rsidRDefault="008C68C4" w:rsidP="003F6FFD">
      <w:pPr>
        <w:pStyle w:val="Brdtekst"/>
        <w:numPr>
          <w:ilvl w:val="0"/>
          <w:numId w:val="7"/>
        </w:numPr>
        <w:tabs>
          <w:tab w:val="clear" w:pos="360"/>
          <w:tab w:val="num" w:pos="435"/>
        </w:tabs>
        <w:ind w:left="435"/>
      </w:pPr>
      <w:r>
        <w:t>Kjenne reglene</w:t>
      </w:r>
      <w:r w:rsidR="003F6FFD">
        <w:t xml:space="preserve"> for</w:t>
      </w:r>
      <w:r>
        <w:t xml:space="preserve"> </w:t>
      </w:r>
      <w:r w:rsidR="003F6FFD" w:rsidRPr="003F6FFD">
        <w:rPr>
          <w:b/>
        </w:rPr>
        <w:t>habilitet</w:t>
      </w:r>
      <w:r w:rsidR="003F6FFD">
        <w:t xml:space="preserve">, </w:t>
      </w:r>
      <w:r w:rsidR="003F6FFD" w:rsidRPr="003F6FFD">
        <w:rPr>
          <w:b/>
        </w:rPr>
        <w:t>saksbehandling</w:t>
      </w:r>
      <w:r w:rsidR="003F6FFD">
        <w:t xml:space="preserve"> og vedtakets </w:t>
      </w:r>
      <w:r w:rsidR="003F6FFD" w:rsidRPr="003F6FFD">
        <w:rPr>
          <w:b/>
        </w:rPr>
        <w:t>innhold</w:t>
      </w:r>
      <w:r w:rsidR="003F6FFD">
        <w:t xml:space="preserve"> som utøvende myndighet</w:t>
      </w:r>
      <w:r w:rsidR="003F6FFD" w:rsidRPr="003F6FFD">
        <w:t xml:space="preserve"> </w:t>
      </w:r>
      <w:r w:rsidR="003F6FFD">
        <w:t xml:space="preserve">plikter å følge </w:t>
      </w:r>
      <w:r w:rsidR="003F6FFD">
        <w:rPr>
          <w:u w:val="single"/>
        </w:rPr>
        <w:t>overfor den enkelte borger</w:t>
      </w:r>
      <w:r w:rsidR="003F6FFD">
        <w:t xml:space="preserve"> (Forvaltingsloven, 1967 + ulovfestede prinsipper). </w:t>
      </w:r>
      <w:r w:rsidR="007020D3">
        <w:t>På denne bakgrunn</w:t>
      </w:r>
      <w:r w:rsidR="00994FD7">
        <w:t xml:space="preserve"> kan man </w:t>
      </w:r>
      <w:r w:rsidR="00994FD7" w:rsidRPr="003F6FFD">
        <w:rPr>
          <w:b/>
        </w:rPr>
        <w:t xml:space="preserve">vurdere om et vedtak </w:t>
      </w:r>
      <w:r w:rsidR="00994FD7">
        <w:t xml:space="preserve">(rettet mot en enkelt borger) </w:t>
      </w:r>
      <w:r w:rsidR="00994FD7" w:rsidRPr="003F6FFD">
        <w:rPr>
          <w:b/>
        </w:rPr>
        <w:t>er gyldig eller ugyldig</w:t>
      </w:r>
      <w:r w:rsidR="00994FD7">
        <w:t>.</w:t>
      </w:r>
    </w:p>
    <w:p w:rsidR="008C68C4" w:rsidRDefault="008C68C4">
      <w:pPr>
        <w:pStyle w:val="Brdtekst"/>
        <w:numPr>
          <w:ilvl w:val="0"/>
          <w:numId w:val="7"/>
        </w:numPr>
        <w:tabs>
          <w:tab w:val="clear" w:pos="360"/>
          <w:tab w:val="num" w:pos="435"/>
        </w:tabs>
        <w:ind w:left="435"/>
      </w:pPr>
      <w:r>
        <w:t xml:space="preserve">Kjenne reglene for </w:t>
      </w:r>
      <w:r w:rsidRPr="003F6FFD">
        <w:rPr>
          <w:b/>
        </w:rPr>
        <w:t>klagerett</w:t>
      </w:r>
      <w:r>
        <w:t xml:space="preserve"> (Forvaltningsloven, 1967)</w:t>
      </w:r>
    </w:p>
    <w:p w:rsidR="00994FD7" w:rsidRDefault="00994FD7">
      <w:pPr>
        <w:pStyle w:val="Brdtekst"/>
        <w:numPr>
          <w:ilvl w:val="0"/>
          <w:numId w:val="7"/>
        </w:numPr>
        <w:tabs>
          <w:tab w:val="clear" w:pos="360"/>
          <w:tab w:val="num" w:pos="435"/>
        </w:tabs>
        <w:ind w:left="435"/>
      </w:pPr>
      <w:r>
        <w:t xml:space="preserve">Ha kjennskap til den enkelte borgers </w:t>
      </w:r>
      <w:r>
        <w:rPr>
          <w:b/>
        </w:rPr>
        <w:t>rett til innsyn</w:t>
      </w:r>
      <w:r w:rsidR="0016799F">
        <w:t xml:space="preserve"> i </w:t>
      </w:r>
      <w:r>
        <w:t>forvaltningens saksdo</w:t>
      </w:r>
      <w:r w:rsidR="00C95525">
        <w:t>kumenter (Offentleglova, 2006</w:t>
      </w:r>
      <w:r>
        <w:t>)</w:t>
      </w:r>
    </w:p>
    <w:p w:rsidR="00A32E3E" w:rsidRDefault="00A32E3E">
      <w:pPr>
        <w:pStyle w:val="Brdtekst"/>
        <w:numPr>
          <w:ilvl w:val="0"/>
          <w:numId w:val="7"/>
        </w:numPr>
        <w:tabs>
          <w:tab w:val="clear" w:pos="360"/>
          <w:tab w:val="num" w:pos="435"/>
        </w:tabs>
        <w:ind w:left="435"/>
      </w:pPr>
      <w:r>
        <w:t>Ha kjennskap til</w:t>
      </w:r>
      <w:r w:rsidR="004E715F">
        <w:t xml:space="preserve"> noen</w:t>
      </w:r>
      <w:r>
        <w:t xml:space="preserve"> </w:t>
      </w:r>
      <w:r w:rsidRPr="004E715F">
        <w:rPr>
          <w:b/>
        </w:rPr>
        <w:t>spesielle regler for offentlig inngripen</w:t>
      </w:r>
      <w:r>
        <w:t xml:space="preserve"> overfor den enkelte borger særlig innenfor forurensning og allemannsretten.</w:t>
      </w:r>
    </w:p>
    <w:p w:rsidR="00994FD7" w:rsidRDefault="00994FD7">
      <w:pPr>
        <w:pStyle w:val="Brdtekst"/>
      </w:pPr>
    </w:p>
    <w:p w:rsidR="00994FD7" w:rsidRDefault="003F6DFE" w:rsidP="006D36C1">
      <w:pPr>
        <w:pStyle w:val="Brdtekst"/>
      </w:pPr>
      <w:r>
        <w:t xml:space="preserve"> </w:t>
      </w:r>
    </w:p>
    <w:p w:rsidR="00994FD7" w:rsidRDefault="00994FD7">
      <w:pPr>
        <w:pStyle w:val="Brdtekst"/>
        <w:ind w:right="-284"/>
        <w:jc w:val="center"/>
        <w:rPr>
          <w:b/>
        </w:rPr>
      </w:pPr>
      <w:r>
        <w:rPr>
          <w:b/>
        </w:rPr>
        <w:t>Innhold i kapittelet</w:t>
      </w:r>
    </w:p>
    <w:p w:rsidR="00994FD7" w:rsidRDefault="00994FD7">
      <w:pPr>
        <w:pStyle w:val="Brdtekst"/>
        <w:ind w:right="-284"/>
        <w:rPr>
          <w:b/>
        </w:rPr>
      </w:pPr>
    </w:p>
    <w:p w:rsidR="00994FD7" w:rsidRPr="004E715F" w:rsidRDefault="00907BFB">
      <w:pPr>
        <w:pStyle w:val="Brdtekst"/>
        <w:numPr>
          <w:ilvl w:val="0"/>
          <w:numId w:val="1"/>
        </w:numPr>
        <w:tabs>
          <w:tab w:val="left" w:pos="8222"/>
        </w:tabs>
        <w:ind w:right="-284"/>
      </w:pPr>
      <w:r>
        <w:t>I</w:t>
      </w:r>
      <w:r w:rsidR="00A32E3E">
        <w:t>nnføring</w:t>
      </w:r>
      <w:r>
        <w:t xml:space="preserve"> i forvaltningsrett</w:t>
      </w:r>
      <w:r w:rsidR="006D36C1">
        <w:t>.</w:t>
      </w:r>
      <w:r w:rsidR="004E715F">
        <w:tab/>
      </w:r>
      <w:proofErr w:type="spellStart"/>
      <w:r w:rsidR="004E715F">
        <w:t>kap</w:t>
      </w:r>
      <w:proofErr w:type="spellEnd"/>
      <w:r w:rsidR="004E715F">
        <w:t>. 5</w:t>
      </w:r>
      <w:r w:rsidR="00994FD7">
        <w:t xml:space="preserve">.1 </w:t>
      </w:r>
    </w:p>
    <w:p w:rsidR="00A32E3E" w:rsidRDefault="004E715F" w:rsidP="004E715F">
      <w:pPr>
        <w:pStyle w:val="Brdtekst"/>
        <w:numPr>
          <w:ilvl w:val="0"/>
          <w:numId w:val="12"/>
        </w:numPr>
        <w:tabs>
          <w:tab w:val="left" w:pos="8222"/>
        </w:tabs>
        <w:ind w:right="-284"/>
      </w:pPr>
      <w:r>
        <w:t>H</w:t>
      </w:r>
      <w:r w:rsidRPr="004E715F">
        <w:t xml:space="preserve">va er </w:t>
      </w:r>
      <w:r>
        <w:t>forvaltningsvirksomhet?</w:t>
      </w:r>
    </w:p>
    <w:p w:rsidR="004E715F" w:rsidRDefault="004E715F" w:rsidP="004E715F">
      <w:pPr>
        <w:pStyle w:val="Brdtekst"/>
        <w:numPr>
          <w:ilvl w:val="0"/>
          <w:numId w:val="12"/>
        </w:numPr>
        <w:tabs>
          <w:tab w:val="left" w:pos="8222"/>
        </w:tabs>
        <w:ind w:right="-284"/>
      </w:pPr>
      <w:r>
        <w:t>Hva er et forvaltningsorgan?</w:t>
      </w:r>
    </w:p>
    <w:p w:rsidR="004E715F" w:rsidRDefault="004E715F" w:rsidP="004E715F">
      <w:pPr>
        <w:pStyle w:val="Brdtekst"/>
        <w:numPr>
          <w:ilvl w:val="0"/>
          <w:numId w:val="12"/>
        </w:numPr>
        <w:tabs>
          <w:tab w:val="left" w:pos="8222"/>
        </w:tabs>
        <w:ind w:right="-284"/>
      </w:pPr>
      <w:r>
        <w:t>Hva er et forvaltningsvedtak?</w:t>
      </w:r>
    </w:p>
    <w:p w:rsidR="004E715F" w:rsidRDefault="006D36C1" w:rsidP="004E715F">
      <w:pPr>
        <w:pStyle w:val="Brdtekst"/>
        <w:numPr>
          <w:ilvl w:val="1"/>
          <w:numId w:val="12"/>
        </w:numPr>
        <w:tabs>
          <w:tab w:val="left" w:pos="8222"/>
        </w:tabs>
        <w:ind w:right="-284"/>
      </w:pPr>
      <w:r>
        <w:t>Det er f</w:t>
      </w:r>
      <w:r w:rsidR="004E715F">
        <w:t>orskjell på vedtak, enkeltvedtak og forskrift</w:t>
      </w:r>
    </w:p>
    <w:p w:rsidR="004E715F" w:rsidRPr="004E715F" w:rsidRDefault="004E715F" w:rsidP="004E715F">
      <w:pPr>
        <w:pStyle w:val="Brdtekst"/>
        <w:tabs>
          <w:tab w:val="left" w:pos="8222"/>
        </w:tabs>
        <w:ind w:right="-284"/>
      </w:pPr>
    </w:p>
    <w:p w:rsidR="004E715F" w:rsidRPr="004E715F" w:rsidRDefault="006D36C1" w:rsidP="004E715F">
      <w:pPr>
        <w:pStyle w:val="Brdtekst"/>
        <w:numPr>
          <w:ilvl w:val="0"/>
          <w:numId w:val="1"/>
        </w:numPr>
        <w:tabs>
          <w:tab w:val="left" w:pos="7371"/>
        </w:tabs>
        <w:ind w:right="-284"/>
      </w:pPr>
      <w:r>
        <w:t>Forvaltningsloven (1967).</w:t>
      </w:r>
      <w:r>
        <w:tab/>
      </w:r>
      <w:proofErr w:type="spellStart"/>
      <w:r w:rsidR="004E715F">
        <w:t>kap</w:t>
      </w:r>
      <w:proofErr w:type="spellEnd"/>
      <w:r w:rsidR="004E715F">
        <w:t>. 5</w:t>
      </w:r>
      <w:r w:rsidR="00994FD7" w:rsidRPr="004E715F">
        <w:t>.2</w:t>
      </w:r>
      <w:r w:rsidR="004E715F">
        <w:t xml:space="preserve"> og 5.3</w:t>
      </w:r>
    </w:p>
    <w:p w:rsidR="00994FD7" w:rsidRDefault="00994FD7" w:rsidP="006D36C1">
      <w:pPr>
        <w:pStyle w:val="Brdtekst"/>
        <w:numPr>
          <w:ilvl w:val="0"/>
          <w:numId w:val="8"/>
        </w:numPr>
        <w:tabs>
          <w:tab w:val="clear" w:pos="720"/>
          <w:tab w:val="num" w:pos="372"/>
          <w:tab w:val="num" w:pos="1068"/>
          <w:tab w:val="left" w:pos="8222"/>
        </w:tabs>
        <w:ind w:right="-284"/>
      </w:pPr>
      <w:r>
        <w:t>Formål: Hindre korrupsjon og kameraderi og fremme</w:t>
      </w:r>
    </w:p>
    <w:p w:rsidR="00994FD7" w:rsidRDefault="00994FD7" w:rsidP="006D36C1">
      <w:pPr>
        <w:pStyle w:val="Brdtekst"/>
        <w:tabs>
          <w:tab w:val="left" w:pos="8222"/>
        </w:tabs>
        <w:ind w:left="360" w:right="-284" w:firstLine="360"/>
      </w:pPr>
      <w:r>
        <w:t xml:space="preserve">grundig saksbehandling, likebehandling og rettssikkerhet </w:t>
      </w:r>
    </w:p>
    <w:p w:rsidR="003F6FFD" w:rsidRDefault="00994FD7" w:rsidP="006D36C1">
      <w:pPr>
        <w:pStyle w:val="Brdtekst"/>
        <w:numPr>
          <w:ilvl w:val="0"/>
          <w:numId w:val="8"/>
        </w:numPr>
        <w:tabs>
          <w:tab w:val="clear" w:pos="720"/>
          <w:tab w:val="num" w:pos="372"/>
          <w:tab w:val="num" w:pos="1068"/>
          <w:tab w:val="left" w:pos="8222"/>
        </w:tabs>
        <w:ind w:right="-284"/>
      </w:pPr>
      <w:r>
        <w:t xml:space="preserve">Regler for habilitet, saksbehandling og </w:t>
      </w:r>
      <w:r w:rsidR="003F6FFD">
        <w:t>vedtakets innhold</w:t>
      </w:r>
    </w:p>
    <w:p w:rsidR="006D36C1" w:rsidRDefault="006D36C1" w:rsidP="006D36C1">
      <w:pPr>
        <w:pStyle w:val="Brdtekst"/>
        <w:tabs>
          <w:tab w:val="num" w:pos="1068"/>
          <w:tab w:val="left" w:pos="8222"/>
        </w:tabs>
        <w:ind w:left="708" w:right="-284"/>
      </w:pPr>
      <w:r>
        <w:t>for å sikre gyldige vedtak overfor den enkelte borger</w:t>
      </w:r>
    </w:p>
    <w:p w:rsidR="00994FD7" w:rsidRDefault="003F6FFD" w:rsidP="006D36C1">
      <w:pPr>
        <w:pStyle w:val="Brdtekst"/>
        <w:numPr>
          <w:ilvl w:val="0"/>
          <w:numId w:val="8"/>
        </w:numPr>
        <w:tabs>
          <w:tab w:val="clear" w:pos="720"/>
          <w:tab w:val="num" w:pos="372"/>
          <w:tab w:val="num" w:pos="1068"/>
          <w:tab w:val="left" w:pos="8222"/>
        </w:tabs>
        <w:ind w:right="-284"/>
      </w:pPr>
      <w:r>
        <w:t xml:space="preserve">Regler for </w:t>
      </w:r>
      <w:r w:rsidR="00994FD7">
        <w:t>klagerett</w:t>
      </w:r>
    </w:p>
    <w:p w:rsidR="00994FD7" w:rsidRDefault="00994FD7" w:rsidP="006D36C1">
      <w:pPr>
        <w:pStyle w:val="Brdtekst"/>
        <w:tabs>
          <w:tab w:val="left" w:pos="8222"/>
        </w:tabs>
        <w:ind w:right="-284"/>
      </w:pPr>
    </w:p>
    <w:p w:rsidR="00FF6E24" w:rsidRDefault="006D36C1" w:rsidP="00FF6E24">
      <w:pPr>
        <w:pStyle w:val="Brdtekst"/>
        <w:numPr>
          <w:ilvl w:val="0"/>
          <w:numId w:val="8"/>
        </w:numPr>
        <w:tabs>
          <w:tab w:val="clear" w:pos="720"/>
          <w:tab w:val="num" w:pos="360"/>
          <w:tab w:val="left" w:pos="8222"/>
        </w:tabs>
        <w:ind w:left="360" w:right="-284"/>
      </w:pPr>
      <w:r>
        <w:t>Rettsprøving.</w:t>
      </w:r>
      <w:r>
        <w:tab/>
      </w:r>
      <w:proofErr w:type="spellStart"/>
      <w:r>
        <w:t>kap</w:t>
      </w:r>
      <w:proofErr w:type="spellEnd"/>
      <w:r>
        <w:t>. 5</w:t>
      </w:r>
      <w:r w:rsidR="00FF6E24">
        <w:t>.4</w:t>
      </w:r>
    </w:p>
    <w:p w:rsidR="00FF6E24" w:rsidRDefault="00FF6E24" w:rsidP="006D36C1">
      <w:pPr>
        <w:pStyle w:val="Brdtekst"/>
        <w:numPr>
          <w:ilvl w:val="0"/>
          <w:numId w:val="8"/>
        </w:numPr>
        <w:tabs>
          <w:tab w:val="left" w:pos="8222"/>
        </w:tabs>
        <w:ind w:right="-284"/>
      </w:pPr>
      <w:r>
        <w:t xml:space="preserve">Hva skal til for å kreve at domstolene behandler </w:t>
      </w:r>
      <w:r w:rsidR="006D36C1">
        <w:t>et</w:t>
      </w:r>
    </w:p>
    <w:p w:rsidR="00FF6E24" w:rsidRDefault="00FF6E24" w:rsidP="006D36C1">
      <w:pPr>
        <w:pStyle w:val="Brdtekst"/>
        <w:tabs>
          <w:tab w:val="left" w:pos="8222"/>
        </w:tabs>
        <w:ind w:left="720" w:right="-284"/>
        <w:jc w:val="both"/>
      </w:pPr>
      <w:r>
        <w:t>vedtak gjort av forvaltningen</w:t>
      </w:r>
    </w:p>
    <w:p w:rsidR="00FF6E24" w:rsidRDefault="00FF6E24">
      <w:pPr>
        <w:pStyle w:val="Brdtekst"/>
        <w:tabs>
          <w:tab w:val="left" w:pos="8222"/>
        </w:tabs>
        <w:ind w:left="708" w:right="-284"/>
      </w:pPr>
    </w:p>
    <w:p w:rsidR="00994FD7" w:rsidRDefault="00994FD7">
      <w:pPr>
        <w:pStyle w:val="Brdtekst"/>
        <w:numPr>
          <w:ilvl w:val="0"/>
          <w:numId w:val="2"/>
        </w:numPr>
        <w:tabs>
          <w:tab w:val="left" w:pos="8222"/>
        </w:tabs>
        <w:ind w:right="-284"/>
      </w:pPr>
      <w:proofErr w:type="spellStart"/>
      <w:r>
        <w:t>Of</w:t>
      </w:r>
      <w:r w:rsidR="006D36C1">
        <w:t>fentleglova</w:t>
      </w:r>
      <w:proofErr w:type="spellEnd"/>
      <w:r w:rsidR="006D36C1">
        <w:t xml:space="preserve"> (2006).</w:t>
      </w:r>
      <w:r w:rsidR="006D36C1">
        <w:tab/>
      </w:r>
      <w:proofErr w:type="spellStart"/>
      <w:r w:rsidR="006D36C1">
        <w:t>kap</w:t>
      </w:r>
      <w:proofErr w:type="spellEnd"/>
      <w:r w:rsidR="006D36C1">
        <w:t>. 5</w:t>
      </w:r>
      <w:r w:rsidR="00FF6E24">
        <w:t>.5</w:t>
      </w:r>
    </w:p>
    <w:p w:rsidR="00994FD7" w:rsidRDefault="00994FD7" w:rsidP="00FF6E24">
      <w:pPr>
        <w:pStyle w:val="Brdtekst"/>
        <w:numPr>
          <w:ilvl w:val="0"/>
          <w:numId w:val="6"/>
        </w:numPr>
        <w:tabs>
          <w:tab w:val="clear" w:pos="360"/>
          <w:tab w:val="num" w:pos="1068"/>
          <w:tab w:val="left" w:pos="8222"/>
        </w:tabs>
        <w:ind w:left="1068" w:right="-284"/>
      </w:pPr>
      <w:r>
        <w:t>Formål: Skape åpenhet og tillit til offentlig forvaltning</w:t>
      </w:r>
    </w:p>
    <w:p w:rsidR="00FF6E24" w:rsidRDefault="00FF6E24" w:rsidP="00FF6E24">
      <w:pPr>
        <w:pStyle w:val="Brdtekst"/>
        <w:numPr>
          <w:ilvl w:val="0"/>
          <w:numId w:val="6"/>
        </w:numPr>
        <w:tabs>
          <w:tab w:val="clear" w:pos="360"/>
          <w:tab w:val="num" w:pos="1068"/>
          <w:tab w:val="left" w:pos="8222"/>
        </w:tabs>
        <w:ind w:left="1068" w:right="-284"/>
      </w:pPr>
      <w:r>
        <w:t xml:space="preserve">Regulerer innsynsrett for borgere som ikke er part </w:t>
      </w:r>
    </w:p>
    <w:p w:rsidR="00FF6E24" w:rsidRDefault="00FF6E24" w:rsidP="00FF6E24">
      <w:pPr>
        <w:pStyle w:val="Brdtekst"/>
        <w:tabs>
          <w:tab w:val="left" w:pos="8222"/>
        </w:tabs>
        <w:ind w:left="1068" w:right="-284"/>
      </w:pPr>
      <w:r>
        <w:t>i en sak</w:t>
      </w:r>
    </w:p>
    <w:p w:rsidR="00A32E3E" w:rsidRDefault="00A32E3E" w:rsidP="00A32E3E">
      <w:pPr>
        <w:pStyle w:val="Brdtekst"/>
        <w:tabs>
          <w:tab w:val="left" w:pos="8222"/>
        </w:tabs>
        <w:ind w:right="-284"/>
      </w:pPr>
    </w:p>
    <w:p w:rsidR="00994FD7" w:rsidRDefault="00994FD7" w:rsidP="00A32E3E">
      <w:pPr>
        <w:pStyle w:val="Brdtekst"/>
        <w:tabs>
          <w:tab w:val="left" w:pos="8222"/>
        </w:tabs>
        <w:ind w:right="-284"/>
      </w:pPr>
    </w:p>
    <w:p w:rsidR="00A32E3E" w:rsidRDefault="00994FD7" w:rsidP="00A32E3E">
      <w:pPr>
        <w:pStyle w:val="Brdtekst"/>
        <w:numPr>
          <w:ilvl w:val="0"/>
          <w:numId w:val="11"/>
        </w:numPr>
        <w:tabs>
          <w:tab w:val="left" w:pos="8222"/>
        </w:tabs>
        <w:ind w:right="-284"/>
      </w:pPr>
      <w:r w:rsidRPr="00994FD7">
        <w:rPr>
          <w:b/>
        </w:rPr>
        <w:t>M</w:t>
      </w:r>
      <w:r w:rsidR="00FF6E24" w:rsidRPr="00994FD7">
        <w:rPr>
          <w:b/>
        </w:rPr>
        <w:t>er spesifikke bestemmelser</w:t>
      </w:r>
      <w:r w:rsidR="00FF6E24">
        <w:t xml:space="preserve"> </w:t>
      </w:r>
      <w:r w:rsidR="00FF6E24" w:rsidRPr="006D36C1">
        <w:rPr>
          <w:b/>
        </w:rPr>
        <w:t>om offentlig inngripen</w:t>
      </w:r>
    </w:p>
    <w:p w:rsidR="00A32E3E" w:rsidRDefault="00FF6E24" w:rsidP="00FF6E24">
      <w:pPr>
        <w:pStyle w:val="Brdtekst"/>
        <w:numPr>
          <w:ilvl w:val="0"/>
          <w:numId w:val="11"/>
        </w:numPr>
        <w:tabs>
          <w:tab w:val="clear" w:pos="360"/>
          <w:tab w:val="num" w:pos="1068"/>
          <w:tab w:val="left" w:pos="8222"/>
        </w:tabs>
        <w:ind w:left="1068" w:right="-284"/>
      </w:pPr>
      <w:r>
        <w:t>Miljøinformasjonsloven (my</w:t>
      </w:r>
      <w:r w:rsidR="006D36C1">
        <w:t>ndighetene har infoplikt).</w:t>
      </w:r>
      <w:r w:rsidR="006D36C1">
        <w:tab/>
      </w:r>
      <w:proofErr w:type="spellStart"/>
      <w:r w:rsidR="006D36C1">
        <w:t>kap</w:t>
      </w:r>
      <w:proofErr w:type="spellEnd"/>
      <w:r w:rsidR="006D36C1">
        <w:t>. 5</w:t>
      </w:r>
      <w:r>
        <w:t>.6</w:t>
      </w:r>
    </w:p>
    <w:p w:rsidR="00FF6E24" w:rsidRDefault="00FF6E24" w:rsidP="00FF6E24">
      <w:pPr>
        <w:pStyle w:val="Brdtekst"/>
        <w:numPr>
          <w:ilvl w:val="0"/>
          <w:numId w:val="11"/>
        </w:numPr>
        <w:tabs>
          <w:tab w:val="clear" w:pos="360"/>
          <w:tab w:val="num" w:pos="1068"/>
          <w:tab w:val="left" w:pos="8222"/>
        </w:tabs>
        <w:ind w:left="1068" w:right="-284"/>
      </w:pPr>
      <w:r>
        <w:t>Forurensningsloven (myndighetene kan gripe inn)</w:t>
      </w:r>
      <w:r w:rsidR="006D36C1">
        <w:t>.</w:t>
      </w:r>
      <w:r w:rsidR="006D36C1">
        <w:tab/>
      </w:r>
      <w:proofErr w:type="spellStart"/>
      <w:r w:rsidR="006D36C1">
        <w:t>kap</w:t>
      </w:r>
      <w:proofErr w:type="spellEnd"/>
      <w:r w:rsidR="006D36C1">
        <w:t>. 5</w:t>
      </w:r>
      <w:r>
        <w:t>.7</w:t>
      </w:r>
    </w:p>
    <w:p w:rsidR="00FF6E24" w:rsidRDefault="00FF6E24" w:rsidP="00FF6E24">
      <w:pPr>
        <w:pStyle w:val="Brdtekst"/>
        <w:numPr>
          <w:ilvl w:val="0"/>
          <w:numId w:val="11"/>
        </w:numPr>
        <w:tabs>
          <w:tab w:val="clear" w:pos="360"/>
          <w:tab w:val="num" w:pos="1068"/>
          <w:tab w:val="left" w:pos="8222"/>
        </w:tabs>
        <w:ind w:left="1068" w:right="-284"/>
      </w:pPr>
      <w:r>
        <w:t>F</w:t>
      </w:r>
      <w:r w:rsidR="00994FD7">
        <w:t>riluftsloven (særlig allemannsretten)</w:t>
      </w:r>
      <w:r w:rsidR="006D36C1">
        <w:t>.</w:t>
      </w:r>
      <w:r w:rsidR="006D36C1">
        <w:tab/>
      </w:r>
      <w:proofErr w:type="spellStart"/>
      <w:r w:rsidR="006D36C1">
        <w:t>kap</w:t>
      </w:r>
      <w:proofErr w:type="spellEnd"/>
      <w:r w:rsidR="006D36C1">
        <w:t>. 5</w:t>
      </w:r>
      <w:r w:rsidR="00994FD7">
        <w:t>.8</w:t>
      </w:r>
      <w:r>
        <w:tab/>
      </w:r>
    </w:p>
    <w:sectPr w:rsidR="00FF6E24">
      <w:pgSz w:w="11906" w:h="16838"/>
      <w:pgMar w:top="1304" w:right="1418" w:bottom="1304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46D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BA57C9"/>
    <w:multiLevelType w:val="multilevel"/>
    <w:tmpl w:val="04EE7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DD339A"/>
    <w:multiLevelType w:val="hybridMultilevel"/>
    <w:tmpl w:val="D3DC255E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8146C3"/>
    <w:multiLevelType w:val="singleLevel"/>
    <w:tmpl w:val="0414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4E3218EA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06209B0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A1F1DE5"/>
    <w:multiLevelType w:val="multilevel"/>
    <w:tmpl w:val="3C3664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482C50"/>
    <w:multiLevelType w:val="hybridMultilevel"/>
    <w:tmpl w:val="670A43A6"/>
    <w:lvl w:ilvl="0" w:tplc="0414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F84166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FAA2554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20C0521"/>
    <w:multiLevelType w:val="hybridMultilevel"/>
    <w:tmpl w:val="EF007F36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148B0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AD800F3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8"/>
  </w:num>
  <w:num w:numId="5">
    <w:abstractNumId w:val="4"/>
  </w:num>
  <w:num w:numId="6">
    <w:abstractNumId w:val="0"/>
  </w:num>
  <w:num w:numId="7">
    <w:abstractNumId w:val="12"/>
  </w:num>
  <w:num w:numId="8">
    <w:abstractNumId w:val="3"/>
  </w:num>
  <w:num w:numId="9">
    <w:abstractNumId w:val="9"/>
  </w:num>
  <w:num w:numId="10">
    <w:abstractNumId w:val="5"/>
  </w:num>
  <w:num w:numId="11">
    <w:abstractNumId w:val="7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2E3E"/>
    <w:rsid w:val="00014DDB"/>
    <w:rsid w:val="000F6D1A"/>
    <w:rsid w:val="00104A7A"/>
    <w:rsid w:val="0016799F"/>
    <w:rsid w:val="00326A13"/>
    <w:rsid w:val="003F6DFE"/>
    <w:rsid w:val="003F6FFD"/>
    <w:rsid w:val="004E715F"/>
    <w:rsid w:val="006655BF"/>
    <w:rsid w:val="006D36C1"/>
    <w:rsid w:val="007020D3"/>
    <w:rsid w:val="007C763F"/>
    <w:rsid w:val="008762C2"/>
    <w:rsid w:val="008C68C4"/>
    <w:rsid w:val="00907BFB"/>
    <w:rsid w:val="00994FD7"/>
    <w:rsid w:val="00A32E3E"/>
    <w:rsid w:val="00BD271C"/>
    <w:rsid w:val="00BD31C0"/>
    <w:rsid w:val="00C95525"/>
    <w:rsid w:val="00E23FB8"/>
    <w:rsid w:val="00F32E0F"/>
    <w:rsid w:val="00FF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7F4840"/>
  <w15:docId w15:val="{1B9D633D-7771-4518-BBB2-72573A76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sz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256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Forvaltningsrett</vt:lpstr>
    </vt:vector>
  </TitlesOfParts>
  <Company>Universitetet i Bergen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Forvaltningsrett</dc:title>
  <dc:creator>Vidar Lunde</dc:creator>
  <cp:lastModifiedBy>Vidar Lunde (Kna)</cp:lastModifiedBy>
  <cp:revision>9</cp:revision>
  <cp:lastPrinted>2006-01-18T23:58:00Z</cp:lastPrinted>
  <dcterms:created xsi:type="dcterms:W3CDTF">2013-03-21T19:58:00Z</dcterms:created>
  <dcterms:modified xsi:type="dcterms:W3CDTF">2019-02-08T11:57:00Z</dcterms:modified>
</cp:coreProperties>
</file>