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6E4" w:rsidRPr="002266E4" w:rsidRDefault="002266E4">
      <w:pPr>
        <w:rPr>
          <w:sz w:val="28"/>
          <w:szCs w:val="28"/>
        </w:rPr>
      </w:pPr>
    </w:p>
    <w:p w:rsidR="002266E4" w:rsidRPr="002266E4" w:rsidRDefault="002266E4" w:rsidP="002266E4">
      <w:pPr>
        <w:pStyle w:val="Brdtekst2"/>
        <w:jc w:val="center"/>
        <w:rPr>
          <w:b/>
          <w:sz w:val="36"/>
          <w:szCs w:val="36"/>
        </w:rPr>
      </w:pPr>
      <w:r w:rsidRPr="002266E4">
        <w:rPr>
          <w:b/>
          <w:sz w:val="36"/>
          <w:szCs w:val="36"/>
        </w:rPr>
        <w:t xml:space="preserve">Typisk fremgangsmåte i tvister om </w:t>
      </w:r>
      <w:r w:rsidR="005C1D20">
        <w:rPr>
          <w:b/>
          <w:sz w:val="36"/>
          <w:szCs w:val="36"/>
        </w:rPr>
        <w:t>fullmakt</w:t>
      </w:r>
    </w:p>
    <w:p w:rsidR="002266E4" w:rsidRDefault="00D11AB5" w:rsidP="002266E4">
      <w:pPr>
        <w:pStyle w:val="Brdtekst2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266E4" w:rsidRDefault="00C201EA" w:rsidP="002266E4">
      <w:pPr>
        <w:pStyle w:val="Brdtekst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D18DF">
        <w:rPr>
          <w:sz w:val="28"/>
          <w:szCs w:val="28"/>
        </w:rPr>
        <w:t xml:space="preserve"> </w:t>
      </w:r>
      <w:bookmarkStart w:id="0" w:name="_GoBack"/>
      <w:bookmarkEnd w:id="0"/>
    </w:p>
    <w:p w:rsidR="002266E4" w:rsidRDefault="00C21A5F" w:rsidP="002266E4">
      <w:pPr>
        <w:pStyle w:val="Brdtekst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F6502">
        <w:rPr>
          <w:sz w:val="28"/>
          <w:szCs w:val="28"/>
        </w:rPr>
        <w:t xml:space="preserve"> </w:t>
      </w:r>
      <w:r w:rsidR="00227EAC">
        <w:rPr>
          <w:sz w:val="28"/>
          <w:szCs w:val="28"/>
        </w:rPr>
        <w:t xml:space="preserve"> </w:t>
      </w:r>
    </w:p>
    <w:p w:rsidR="002266E4" w:rsidRDefault="002266E4" w:rsidP="002266E4">
      <w:pPr>
        <w:pStyle w:val="Brdtekst2"/>
        <w:rPr>
          <w:sz w:val="28"/>
          <w:szCs w:val="28"/>
        </w:rPr>
      </w:pPr>
      <w:r w:rsidRPr="002266E4">
        <w:rPr>
          <w:b/>
          <w:sz w:val="28"/>
          <w:szCs w:val="28"/>
        </w:rPr>
        <w:t>Innledning</w:t>
      </w:r>
      <w:r>
        <w:rPr>
          <w:sz w:val="28"/>
          <w:szCs w:val="28"/>
        </w:rPr>
        <w:t>: (ha med de tre punktene som vanlig)</w:t>
      </w:r>
    </w:p>
    <w:p w:rsidR="002266E4" w:rsidRPr="002266E4" w:rsidRDefault="002266E4" w:rsidP="002266E4">
      <w:pPr>
        <w:pStyle w:val="Brdtekst2"/>
        <w:numPr>
          <w:ilvl w:val="0"/>
          <w:numId w:val="1"/>
        </w:numPr>
        <w:rPr>
          <w:sz w:val="28"/>
          <w:szCs w:val="28"/>
        </w:rPr>
      </w:pPr>
      <w:r w:rsidRPr="002266E4">
        <w:rPr>
          <w:sz w:val="28"/>
          <w:szCs w:val="28"/>
        </w:rPr>
        <w:t>Parter:……</w:t>
      </w:r>
    </w:p>
    <w:p w:rsidR="00B36477" w:rsidRDefault="002266E4" w:rsidP="002266E4">
      <w:pPr>
        <w:pStyle w:val="Brdtekst2"/>
        <w:numPr>
          <w:ilvl w:val="0"/>
          <w:numId w:val="1"/>
        </w:numPr>
        <w:rPr>
          <w:sz w:val="28"/>
          <w:szCs w:val="28"/>
        </w:rPr>
      </w:pPr>
      <w:r w:rsidRPr="002266E4">
        <w:rPr>
          <w:sz w:val="28"/>
          <w:szCs w:val="28"/>
        </w:rPr>
        <w:t xml:space="preserve">Rettsspørsmål: </w:t>
      </w:r>
      <w:r w:rsidR="00B36477">
        <w:rPr>
          <w:sz w:val="28"/>
          <w:szCs w:val="28"/>
        </w:rPr>
        <w:t xml:space="preserve"> </w:t>
      </w:r>
      <w:r w:rsidR="005C1D20">
        <w:rPr>
          <w:sz w:val="28"/>
          <w:szCs w:val="28"/>
        </w:rPr>
        <w:t>Er det inngått en bindende avtale?</w:t>
      </w:r>
      <w:r w:rsidR="00B36477">
        <w:rPr>
          <w:sz w:val="28"/>
          <w:szCs w:val="28"/>
        </w:rPr>
        <w:t xml:space="preserve"> </w:t>
      </w:r>
    </w:p>
    <w:p w:rsidR="002266E4" w:rsidRPr="002266E4" w:rsidRDefault="00B36477" w:rsidP="00B36477">
      <w:pPr>
        <w:pStyle w:val="Brdtekst2"/>
        <w:ind w:left="1416" w:firstLine="708"/>
        <w:rPr>
          <w:sz w:val="28"/>
          <w:szCs w:val="28"/>
        </w:rPr>
      </w:pPr>
      <w:r>
        <w:rPr>
          <w:sz w:val="28"/>
          <w:szCs w:val="28"/>
        </w:rPr>
        <w:t>(kan også være spørsmål om erstatning)</w:t>
      </w:r>
    </w:p>
    <w:p w:rsidR="002266E4" w:rsidRPr="002266E4" w:rsidRDefault="002266E4" w:rsidP="002266E4">
      <w:pPr>
        <w:pStyle w:val="Brdtekst2"/>
        <w:numPr>
          <w:ilvl w:val="0"/>
          <w:numId w:val="1"/>
        </w:numPr>
        <w:rPr>
          <w:sz w:val="28"/>
          <w:szCs w:val="28"/>
        </w:rPr>
      </w:pPr>
      <w:r w:rsidRPr="002266E4">
        <w:rPr>
          <w:sz w:val="28"/>
          <w:szCs w:val="28"/>
        </w:rPr>
        <w:t xml:space="preserve">Rettsgrunnlag: Spørsmålet drøftes på grunnlag av </w:t>
      </w:r>
      <w:r w:rsidR="005C1D20">
        <w:rPr>
          <w:sz w:val="28"/>
          <w:szCs w:val="28"/>
        </w:rPr>
        <w:t>avtalelovens (1918) regler om fullmakt (kap. 2 i loven)</w:t>
      </w:r>
    </w:p>
    <w:p w:rsidR="002266E4" w:rsidRPr="005C1D20" w:rsidRDefault="002266E4" w:rsidP="002266E4">
      <w:pPr>
        <w:pStyle w:val="Brdtekst2"/>
        <w:rPr>
          <w:sz w:val="28"/>
          <w:szCs w:val="28"/>
        </w:rPr>
      </w:pPr>
    </w:p>
    <w:p w:rsidR="005C1D20" w:rsidRPr="005C1D20" w:rsidRDefault="002266E4" w:rsidP="005C1D20">
      <w:pPr>
        <w:pStyle w:val="Brdtekst2"/>
        <w:rPr>
          <w:sz w:val="28"/>
          <w:szCs w:val="28"/>
        </w:rPr>
      </w:pPr>
      <w:r w:rsidRPr="005C1D20">
        <w:rPr>
          <w:b/>
          <w:sz w:val="28"/>
          <w:szCs w:val="28"/>
        </w:rPr>
        <w:t>Drøfting</w:t>
      </w:r>
      <w:r w:rsidRPr="005C1D20">
        <w:rPr>
          <w:sz w:val="28"/>
          <w:szCs w:val="28"/>
        </w:rPr>
        <w:t xml:space="preserve">: </w:t>
      </w:r>
    </w:p>
    <w:p w:rsidR="000146DE" w:rsidRDefault="000146DE" w:rsidP="005C1D20">
      <w:pPr>
        <w:pStyle w:val="Brdtekst2"/>
        <w:rPr>
          <w:sz w:val="28"/>
          <w:szCs w:val="28"/>
        </w:rPr>
      </w:pPr>
      <w:r>
        <w:rPr>
          <w:sz w:val="28"/>
          <w:szCs w:val="28"/>
        </w:rPr>
        <w:t xml:space="preserve">Det første som bør vurderes er om det bare er én fullmakt. I enkelte tilfeller kan det være flere. </w:t>
      </w:r>
    </w:p>
    <w:p w:rsidR="000146DE" w:rsidRDefault="000146DE" w:rsidP="005C1D20">
      <w:pPr>
        <w:pStyle w:val="Brdtekst2"/>
        <w:rPr>
          <w:sz w:val="28"/>
          <w:szCs w:val="28"/>
        </w:rPr>
      </w:pPr>
    </w:p>
    <w:p w:rsidR="005C1D20" w:rsidRPr="005C1D20" w:rsidRDefault="000146DE" w:rsidP="005C1D20">
      <w:pPr>
        <w:pStyle w:val="Brdtekst2"/>
        <w:rPr>
          <w:sz w:val="28"/>
          <w:szCs w:val="28"/>
        </w:rPr>
      </w:pPr>
      <w:r>
        <w:rPr>
          <w:sz w:val="28"/>
          <w:szCs w:val="28"/>
        </w:rPr>
        <w:t xml:space="preserve">For den enkelte fullmakt </w:t>
      </w:r>
      <w:r w:rsidR="005C1D20" w:rsidRPr="005C1D20">
        <w:rPr>
          <w:sz w:val="28"/>
          <w:szCs w:val="28"/>
        </w:rPr>
        <w:t>må dere som oftest ta stilling til:</w:t>
      </w:r>
    </w:p>
    <w:p w:rsidR="000146DE" w:rsidRDefault="005C1D20" w:rsidP="005C1D20">
      <w:pPr>
        <w:numPr>
          <w:ilvl w:val="0"/>
          <w:numId w:val="3"/>
        </w:numPr>
        <w:rPr>
          <w:i/>
          <w:sz w:val="28"/>
          <w:szCs w:val="28"/>
          <w:u w:val="single"/>
        </w:rPr>
      </w:pPr>
      <w:r w:rsidRPr="005C1D20">
        <w:rPr>
          <w:i/>
          <w:sz w:val="28"/>
          <w:szCs w:val="28"/>
          <w:u w:val="single"/>
        </w:rPr>
        <w:t xml:space="preserve">Første spørsmål er alltid: </w:t>
      </w:r>
      <w:r w:rsidR="000146DE">
        <w:rPr>
          <w:i/>
          <w:sz w:val="28"/>
          <w:szCs w:val="28"/>
          <w:u w:val="single"/>
        </w:rPr>
        <w:t xml:space="preserve">Hva er </w:t>
      </w:r>
      <w:r w:rsidRPr="005C1D20">
        <w:rPr>
          <w:i/>
          <w:sz w:val="28"/>
          <w:szCs w:val="28"/>
          <w:u w:val="single"/>
        </w:rPr>
        <w:t>fullmakten</w:t>
      </w:r>
      <w:r w:rsidR="000146DE">
        <w:rPr>
          <w:i/>
          <w:sz w:val="28"/>
          <w:szCs w:val="28"/>
          <w:u w:val="single"/>
        </w:rPr>
        <w:t>s grense og er den</w:t>
      </w:r>
      <w:r w:rsidRPr="005C1D20">
        <w:rPr>
          <w:i/>
          <w:sz w:val="28"/>
          <w:szCs w:val="28"/>
          <w:u w:val="single"/>
        </w:rPr>
        <w:t xml:space="preserve"> overskredet</w:t>
      </w:r>
      <w:r>
        <w:rPr>
          <w:i/>
          <w:sz w:val="28"/>
          <w:szCs w:val="28"/>
          <w:u w:val="single"/>
        </w:rPr>
        <w:t>?</w:t>
      </w:r>
      <w:r w:rsidRPr="005C1D20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Avklar det først</w:t>
      </w:r>
      <w:r w:rsidRPr="005C1D20">
        <w:rPr>
          <w:i/>
          <w:sz w:val="28"/>
          <w:szCs w:val="28"/>
          <w:u w:val="single"/>
        </w:rPr>
        <w:t>.</w:t>
      </w:r>
      <w:r>
        <w:rPr>
          <w:i/>
          <w:sz w:val="28"/>
          <w:szCs w:val="28"/>
          <w:u w:val="single"/>
        </w:rPr>
        <w:t xml:space="preserve">  </w:t>
      </w:r>
      <w:r w:rsidR="000146DE">
        <w:rPr>
          <w:sz w:val="28"/>
          <w:szCs w:val="28"/>
        </w:rPr>
        <w:t>D</w:t>
      </w:r>
      <w:r w:rsidR="000146DE" w:rsidRPr="005C1D20">
        <w:rPr>
          <w:sz w:val="28"/>
          <w:szCs w:val="28"/>
        </w:rPr>
        <w:t>ett</w:t>
      </w:r>
      <w:r w:rsidR="000146DE">
        <w:rPr>
          <w:sz w:val="28"/>
          <w:szCs w:val="28"/>
        </w:rPr>
        <w:t>e vurderes ut fra</w:t>
      </w:r>
    </w:p>
    <w:p w:rsidR="000146DE" w:rsidRPr="000146DE" w:rsidRDefault="000146DE" w:rsidP="000146DE">
      <w:pPr>
        <w:numPr>
          <w:ilvl w:val="1"/>
          <w:numId w:val="3"/>
        </w:numPr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Hovedbestemmelsen § 10.1 </w:t>
      </w:r>
      <w:r w:rsidR="005C1D20" w:rsidRPr="005C1D20">
        <w:rPr>
          <w:sz w:val="28"/>
          <w:szCs w:val="28"/>
        </w:rPr>
        <w:t xml:space="preserve">og </w:t>
      </w:r>
    </w:p>
    <w:p w:rsidR="005C1D20" w:rsidRPr="005C1D20" w:rsidRDefault="000146DE" w:rsidP="000146DE">
      <w:pPr>
        <w:numPr>
          <w:ilvl w:val="1"/>
          <w:numId w:val="3"/>
        </w:numPr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Ut fra </w:t>
      </w:r>
      <w:r w:rsidR="005C1D20" w:rsidRPr="005C1D20">
        <w:rPr>
          <w:sz w:val="28"/>
          <w:szCs w:val="28"/>
        </w:rPr>
        <w:t>type fullmakt</w:t>
      </w:r>
      <w:r w:rsidR="000E38D0">
        <w:rPr>
          <w:sz w:val="28"/>
          <w:szCs w:val="28"/>
        </w:rPr>
        <w:t xml:space="preserve"> (§ 10.2, § 13, § 14, § 16, § 18</w:t>
      </w:r>
      <w:r w:rsidR="005C1D20" w:rsidRPr="005C1D20">
        <w:rPr>
          <w:sz w:val="28"/>
          <w:szCs w:val="28"/>
        </w:rPr>
        <w:t>)</w:t>
      </w:r>
    </w:p>
    <w:p w:rsidR="005C1D20" w:rsidRPr="005C1D20" w:rsidRDefault="005C1D20" w:rsidP="005C1D20">
      <w:pPr>
        <w:numPr>
          <w:ilvl w:val="0"/>
          <w:numId w:val="3"/>
        </w:numPr>
        <w:rPr>
          <w:i/>
          <w:sz w:val="28"/>
          <w:szCs w:val="28"/>
          <w:u w:val="single"/>
        </w:rPr>
      </w:pPr>
      <w:r w:rsidRPr="005C1D20">
        <w:rPr>
          <w:i/>
          <w:sz w:val="28"/>
          <w:szCs w:val="28"/>
          <w:u w:val="single"/>
        </w:rPr>
        <w:t>Andre sp</w:t>
      </w:r>
      <w:r>
        <w:rPr>
          <w:i/>
          <w:sz w:val="28"/>
          <w:szCs w:val="28"/>
          <w:u w:val="single"/>
        </w:rPr>
        <w:t xml:space="preserve">ørsmål: Er </w:t>
      </w:r>
      <w:r w:rsidR="000A35BF">
        <w:rPr>
          <w:i/>
          <w:sz w:val="28"/>
          <w:szCs w:val="28"/>
          <w:u w:val="single"/>
        </w:rPr>
        <w:t xml:space="preserve">evt. </w:t>
      </w:r>
      <w:r>
        <w:rPr>
          <w:i/>
          <w:sz w:val="28"/>
          <w:szCs w:val="28"/>
          <w:u w:val="single"/>
        </w:rPr>
        <w:t>instruks overskredet</w:t>
      </w:r>
      <w:r w:rsidR="004D296B">
        <w:rPr>
          <w:i/>
          <w:sz w:val="28"/>
          <w:szCs w:val="28"/>
          <w:u w:val="single"/>
        </w:rPr>
        <w:t>/brutt</w:t>
      </w:r>
      <w:r>
        <w:rPr>
          <w:i/>
          <w:sz w:val="28"/>
          <w:szCs w:val="28"/>
          <w:u w:val="single"/>
        </w:rPr>
        <w:t>?</w:t>
      </w:r>
      <w:r w:rsidRPr="005C1D20">
        <w:rPr>
          <w:i/>
          <w:sz w:val="28"/>
          <w:szCs w:val="28"/>
          <w:u w:val="single"/>
        </w:rPr>
        <w:t xml:space="preserve"> </w:t>
      </w:r>
    </w:p>
    <w:p w:rsidR="005C1D20" w:rsidRPr="005C1D20" w:rsidRDefault="00E85C06" w:rsidP="005C1D20">
      <w:pPr>
        <w:numPr>
          <w:ilvl w:val="0"/>
          <w:numId w:val="3"/>
        </w:num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Hvis instruks er brutt</w:t>
      </w:r>
      <w:r w:rsidR="005C1D20" w:rsidRPr="005C1D20">
        <w:rPr>
          <w:i/>
          <w:sz w:val="28"/>
          <w:szCs w:val="28"/>
          <w:u w:val="single"/>
        </w:rPr>
        <w:t>: Var tredjemann i ond tro (forsto eller burde tredjeman</w:t>
      </w:r>
      <w:r w:rsidR="001237E2">
        <w:rPr>
          <w:i/>
          <w:sz w:val="28"/>
          <w:szCs w:val="28"/>
          <w:u w:val="single"/>
        </w:rPr>
        <w:t>n forstå at instruks var brutt? (§ 11)</w:t>
      </w:r>
    </w:p>
    <w:p w:rsidR="002266E4" w:rsidRPr="005C1D20" w:rsidRDefault="002266E4" w:rsidP="002266E4">
      <w:pPr>
        <w:pStyle w:val="Brdtekst2"/>
        <w:rPr>
          <w:sz w:val="28"/>
          <w:szCs w:val="28"/>
        </w:rPr>
      </w:pPr>
    </w:p>
    <w:p w:rsidR="002266E4" w:rsidRPr="005C1D20" w:rsidRDefault="002266E4" w:rsidP="002266E4">
      <w:pPr>
        <w:pStyle w:val="Brdtekst2"/>
        <w:rPr>
          <w:sz w:val="28"/>
          <w:szCs w:val="28"/>
        </w:rPr>
      </w:pPr>
      <w:r w:rsidRPr="005C1D20">
        <w:rPr>
          <w:b/>
          <w:sz w:val="28"/>
          <w:szCs w:val="28"/>
        </w:rPr>
        <w:t>Konklusjon</w:t>
      </w:r>
      <w:r w:rsidRPr="005C1D20">
        <w:rPr>
          <w:sz w:val="28"/>
          <w:szCs w:val="28"/>
        </w:rPr>
        <w:t>:</w:t>
      </w:r>
      <w:r w:rsidR="005C1D20">
        <w:rPr>
          <w:sz w:val="28"/>
          <w:szCs w:val="28"/>
        </w:rPr>
        <w:t xml:space="preserve"> I denne saken foreligger det ingen bindende avtale.</w:t>
      </w:r>
      <w:r w:rsidRPr="005C1D20">
        <w:rPr>
          <w:sz w:val="28"/>
          <w:szCs w:val="28"/>
        </w:rPr>
        <w:t xml:space="preserve">  </w:t>
      </w:r>
    </w:p>
    <w:p w:rsidR="002266E4" w:rsidRPr="005C1D20" w:rsidRDefault="002266E4" w:rsidP="002266E4">
      <w:pPr>
        <w:pStyle w:val="Brdtekst2"/>
        <w:rPr>
          <w:i/>
          <w:sz w:val="28"/>
          <w:szCs w:val="28"/>
        </w:rPr>
      </w:pPr>
      <w:r w:rsidRPr="005C1D20">
        <w:rPr>
          <w:i/>
          <w:sz w:val="28"/>
          <w:szCs w:val="28"/>
        </w:rPr>
        <w:t>(konklusjonen skal gi et kort og klart svar på rettsspørsmålet)</w:t>
      </w:r>
    </w:p>
    <w:p w:rsidR="002266E4" w:rsidRDefault="009357D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F1322" w:rsidRDefault="00AF1322">
      <w:pPr>
        <w:rPr>
          <w:sz w:val="28"/>
          <w:szCs w:val="28"/>
        </w:rPr>
      </w:pPr>
    </w:p>
    <w:p w:rsidR="00AF1322" w:rsidRDefault="00AF1322">
      <w:pPr>
        <w:rPr>
          <w:sz w:val="28"/>
          <w:szCs w:val="28"/>
        </w:rPr>
      </w:pPr>
    </w:p>
    <w:p w:rsidR="00AF1322" w:rsidRPr="00AF1322" w:rsidRDefault="00AF1322">
      <w:pPr>
        <w:rPr>
          <w:b/>
          <w:sz w:val="28"/>
          <w:szCs w:val="28"/>
        </w:rPr>
      </w:pPr>
      <w:r w:rsidRPr="00AF1322">
        <w:rPr>
          <w:b/>
          <w:sz w:val="28"/>
          <w:szCs w:val="28"/>
        </w:rPr>
        <w:t>Spesielt for oppdragsfullmakt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(hvor 3.part ikke er orientert om fullmakten)</w:t>
      </w:r>
      <w:r w:rsidRPr="00AF1322">
        <w:rPr>
          <w:b/>
          <w:sz w:val="28"/>
          <w:szCs w:val="28"/>
        </w:rPr>
        <w:t>:</w:t>
      </w:r>
    </w:p>
    <w:p w:rsidR="00AF1322" w:rsidRDefault="00AF1322">
      <w:pPr>
        <w:rPr>
          <w:sz w:val="28"/>
          <w:szCs w:val="28"/>
        </w:rPr>
      </w:pPr>
    </w:p>
    <w:p w:rsidR="00AF1322" w:rsidRPr="005C1D20" w:rsidRDefault="00AF1322">
      <w:pPr>
        <w:rPr>
          <w:sz w:val="28"/>
          <w:szCs w:val="28"/>
        </w:rPr>
      </w:pPr>
      <w:r>
        <w:rPr>
          <w:sz w:val="28"/>
          <w:szCs w:val="28"/>
        </w:rPr>
        <w:t xml:space="preserve">Husk at det ved oppdragsfullmakt ikke skilles mellom fullmaktens grense og instruks. Alle beskjeder som gis fra fullmaktsgiver til fullmektig inngår i fullmaktens grense. I tilfeller med oppdragsfullmakt er det derfor nok å gi en grundig avklaring av fullmaktens grense samt gi en avklaring nettopp på at det ikke skilles mellom fullmaktens grense og instruks. Dermed er spørsmål 2 ovenfor ikke nødvendig å avklare for oppdragsfullmakt. Når det gjelder god tro hos 3.part, holder det å vise til § 11.2 om at avtalen ikke blir bindende selv om 3.part var i god tro. </w:t>
      </w:r>
    </w:p>
    <w:sectPr w:rsidR="00AF1322" w:rsidRPr="005C1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273AF"/>
    <w:multiLevelType w:val="hybridMultilevel"/>
    <w:tmpl w:val="A2ECDBE4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B44E7"/>
    <w:multiLevelType w:val="hybridMultilevel"/>
    <w:tmpl w:val="0E7CF198"/>
    <w:lvl w:ilvl="0" w:tplc="0414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CA6893"/>
    <w:multiLevelType w:val="hybridMultilevel"/>
    <w:tmpl w:val="16229B42"/>
    <w:lvl w:ilvl="0" w:tplc="0414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6E4"/>
    <w:rsid w:val="000146DE"/>
    <w:rsid w:val="000A35BF"/>
    <w:rsid w:val="000E38D0"/>
    <w:rsid w:val="001237E2"/>
    <w:rsid w:val="002266E4"/>
    <w:rsid w:val="00227EAC"/>
    <w:rsid w:val="004D296B"/>
    <w:rsid w:val="005C1D20"/>
    <w:rsid w:val="008D18DF"/>
    <w:rsid w:val="009357DB"/>
    <w:rsid w:val="009774B0"/>
    <w:rsid w:val="00AF1322"/>
    <w:rsid w:val="00B36477"/>
    <w:rsid w:val="00C201EA"/>
    <w:rsid w:val="00C21A5F"/>
    <w:rsid w:val="00CE5F6E"/>
    <w:rsid w:val="00D11AB5"/>
    <w:rsid w:val="00D306F6"/>
    <w:rsid w:val="00D62BA8"/>
    <w:rsid w:val="00E31C18"/>
    <w:rsid w:val="00E85C06"/>
    <w:rsid w:val="00E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F2A12-37FC-4C44-85F4-D71C638F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2">
    <w:name w:val="Body Text 2"/>
    <w:basedOn w:val="Normal"/>
    <w:rsid w:val="002266E4"/>
    <w:pPr>
      <w:autoSpaceDE w:val="0"/>
      <w:autoSpaceDN w:val="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258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Typisk fremgangsmåte i tvister om barnefordeling</vt:lpstr>
    </vt:vector>
  </TitlesOfParts>
  <Company>Knarvik vidaregåande skule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Typisk fremgangsmåte i tvister om barnefordeling</dc:title>
  <dc:subject/>
  <dc:creator>vidlun</dc:creator>
  <cp:keywords/>
  <cp:lastModifiedBy>Vidar Lunde</cp:lastModifiedBy>
  <cp:revision>5</cp:revision>
  <dcterms:created xsi:type="dcterms:W3CDTF">2016-12-12T15:19:00Z</dcterms:created>
  <dcterms:modified xsi:type="dcterms:W3CDTF">2018-10-26T12:19:00Z</dcterms:modified>
</cp:coreProperties>
</file>