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F7" w:rsidRPr="00BF7BF7" w:rsidRDefault="00BF7BF7" w:rsidP="00BF7BF7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18319C"/>
          <w:kern w:val="36"/>
          <w:sz w:val="30"/>
          <w:szCs w:val="30"/>
        </w:rPr>
      </w:pPr>
      <w:r w:rsidRPr="00BF7BF7">
        <w:rPr>
          <w:rFonts w:ascii="Arial" w:eastAsia="Times New Roman" w:hAnsi="Arial" w:cs="Arial"/>
          <w:b/>
          <w:bCs/>
          <w:color w:val="18319C"/>
          <w:kern w:val="36"/>
          <w:sz w:val="30"/>
          <w:szCs w:val="30"/>
        </w:rPr>
        <w:t>Patrones de Diseño en Java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 xml:space="preserve">Como analistas y programadores vamos desarrollando a diario nuestras habilidades para resolver problemas usuales que se presentan en el </w:t>
      </w:r>
      <w:r w:rsidRPr="00BF7BF7">
        <w:rPr>
          <w:rFonts w:ascii="inherit" w:eastAsia="Times New Roman" w:hAnsi="inherit" w:cs="Times New Roman"/>
          <w:b/>
          <w:bCs/>
          <w:i/>
          <w:iCs/>
          <w:sz w:val="17"/>
          <w:szCs w:val="17"/>
        </w:rPr>
        <w:t>desarrollo del software</w:t>
      </w:r>
      <w:r w:rsidRPr="00BF7BF7">
        <w:rPr>
          <w:rFonts w:ascii="inherit" w:eastAsia="Times New Roman" w:hAnsi="inherit" w:cs="Times New Roman"/>
          <w:sz w:val="17"/>
          <w:szCs w:val="17"/>
        </w:rPr>
        <w:t>. Por cada problema que se nos presenta pensamos distintas formas de resolverlo, incluyendo soluciones exitosas que ya hemos usado anteriormente en problemas similares. Es así que a mayor experiencia que tengamos, nuestro abanico de posibilidades para resolver un problema crece, pero al final siempre habrá una sola solución que mejor se adapte a nuestra aplicación. Si documentamos esta solución, podemos reutilizarla y compartir esa información que hemos aprendido para resolver de la mejor manera un problema específico.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 xml:space="preserve">Los </w:t>
      </w: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patrones del diseño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tratan los problemas del diseño que se repiten y que se presentan en situaciones particulares del diseño, con el fin de proponer soluciones a ellas. Por lo tanto, los patrones de diseño son soluciones exitosas a problemas comunes. Existen muchas formas de implementar patrones de diseño. Los detalles de las implementaciones son llamadas estrategias.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 xml:space="preserve">En este artículo, veremos algunos patrones de diseño para las aplicaciones basadas en </w:t>
      </w: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J2EE</w:t>
      </w:r>
      <w:r w:rsidRPr="00BF7BF7">
        <w:rPr>
          <w:rFonts w:ascii="inherit" w:eastAsia="Times New Roman" w:hAnsi="inherit" w:cs="Times New Roman"/>
          <w:sz w:val="17"/>
          <w:szCs w:val="17"/>
        </w:rPr>
        <w:t>.</w:t>
      </w:r>
    </w:p>
    <w:p w:rsidR="00BF7BF7" w:rsidRPr="00BF7BF7" w:rsidRDefault="00BF7BF7" w:rsidP="00BF7BF7">
      <w:pPr>
        <w:spacing w:after="240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26"/>
          <w:szCs w:val="26"/>
        </w:rPr>
        <w:t>Breve historia de los patrones de diseño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 xml:space="preserve">Un </w:t>
      </w:r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patrón de diseño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es una abstracción de una solución en un nivel alto. Los patrones solucionan problemas que existen en muchos niveles de abstracción. Hay patrones que abarcan las distintas etapas del desarrollo; desde el </w:t>
      </w: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análisis hasta el diseño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y desde la </w:t>
      </w: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arquitectura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hasta la </w:t>
      </w: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implementación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. 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 xml:space="preserve">Muchos diseñadores y arquitectos de </w:t>
      </w:r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software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han definido el término de </w:t>
      </w:r>
      <w:r w:rsidRPr="00BF7BF7">
        <w:rPr>
          <w:rFonts w:ascii="inherit" w:eastAsia="Times New Roman" w:hAnsi="inherit" w:cs="Times New Roman"/>
          <w:b/>
          <w:bCs/>
          <w:i/>
          <w:iCs/>
          <w:sz w:val="17"/>
          <w:szCs w:val="17"/>
        </w:rPr>
        <w:t>patrón de diseño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de varias formas que corresponden al ámbito a la cual se aplican los patrones. Luego, se dividió los patrones en diferentes categorías de acuerdo a su uso. 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 xml:space="preserve">Los diseñadores de software extendieron la idea de </w:t>
      </w: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patrones de diseño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al proceso de desarrollo de software. Debido a las características que proporcionaron los </w:t>
      </w:r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lenguajes orientados a objetos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(como herencia, abstracción y encapsulamiento) les permitieron relacionar entidades de los lenguajes de programación a entidades del mundo real fácilmente, los diseñadores empezaron a aplicar esas características para crear soluciones comunes y reutilizables para problemas frecuentes que exhibían patrones similares.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>Fue por los años 1994, que apareció el libro "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Design</w:t>
      </w:r>
      <w:proofErr w:type="spellEnd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 xml:space="preserve">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Patterns</w:t>
      </w:r>
      <w:proofErr w:type="spellEnd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 xml:space="preserve">: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Elements</w:t>
      </w:r>
      <w:proofErr w:type="spellEnd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 xml:space="preserve"> of Reusable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Object</w:t>
      </w:r>
      <w:proofErr w:type="spellEnd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 xml:space="preserve">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Oriented</w:t>
      </w:r>
      <w:proofErr w:type="spellEnd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 xml:space="preserve">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Sofware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</w:rPr>
        <w:t xml:space="preserve">" escrito por los ahora famosos </w:t>
      </w:r>
      <w:proofErr w:type="spellStart"/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Gang</w:t>
      </w:r>
      <w:proofErr w:type="spellEnd"/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 xml:space="preserve"> of </w:t>
      </w:r>
      <w:proofErr w:type="spellStart"/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Four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</w:rPr>
        <w:t xml:space="preserve"> (</w:t>
      </w:r>
      <w:proofErr w:type="spellStart"/>
      <w:r w:rsidRPr="00BF7BF7">
        <w:rPr>
          <w:rFonts w:ascii="inherit" w:eastAsia="Times New Roman" w:hAnsi="inherit" w:cs="Times New Roman"/>
          <w:sz w:val="17"/>
          <w:szCs w:val="17"/>
        </w:rPr>
        <w:t>GoF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</w:rPr>
        <w:t xml:space="preserve">, que en español es la pandilla de los cuatro) formada por Erich Gamma, Richard </w:t>
      </w:r>
      <w:proofErr w:type="spellStart"/>
      <w:r w:rsidRPr="00BF7BF7">
        <w:rPr>
          <w:rFonts w:ascii="inherit" w:eastAsia="Times New Roman" w:hAnsi="inherit" w:cs="Times New Roman"/>
          <w:sz w:val="17"/>
          <w:szCs w:val="17"/>
        </w:rPr>
        <w:t>Helm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</w:rPr>
        <w:t xml:space="preserve">, Ralph Johnson y John </w:t>
      </w:r>
      <w:proofErr w:type="spellStart"/>
      <w:r w:rsidRPr="00BF7BF7">
        <w:rPr>
          <w:rFonts w:ascii="inherit" w:eastAsia="Times New Roman" w:hAnsi="inherit" w:cs="Times New Roman"/>
          <w:sz w:val="17"/>
          <w:szCs w:val="17"/>
        </w:rPr>
        <w:t>Vlissides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</w:rPr>
        <w:t>. Ellos recopilaron y documentaron 23 patrones de diseño aplicados usualmente por expertos diseñadores de software orientado a objetos. Desde luego que ellos no son los inventores ni los únicos involucrados, pero ese fue luego de la publicación de ese libro que empezó a difundirse con más fuerza la idea de patrones de diseño.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 xml:space="preserve">El grupo de </w:t>
      </w:r>
      <w:proofErr w:type="spellStart"/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GoF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</w:rPr>
        <w:t xml:space="preserve"> clasificaron los patrones en 3 grandes categorías basadas en su </w:t>
      </w: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PROPÓSITO</w:t>
      </w:r>
      <w:r w:rsidRPr="00BF7BF7">
        <w:rPr>
          <w:rFonts w:ascii="inherit" w:eastAsia="Times New Roman" w:hAnsi="inherit" w:cs="Times New Roman"/>
          <w:sz w:val="17"/>
          <w:szCs w:val="17"/>
        </w:rPr>
        <w:t>: creacionales, estructurales y de comportamiento.</w:t>
      </w:r>
    </w:p>
    <w:p w:rsidR="00BF7BF7" w:rsidRPr="00BF7BF7" w:rsidRDefault="00BF7BF7" w:rsidP="00BF7BF7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Creacionales</w:t>
      </w:r>
      <w:r w:rsidRPr="00BF7BF7">
        <w:rPr>
          <w:rFonts w:ascii="inherit" w:eastAsia="Times New Roman" w:hAnsi="inherit" w:cs="Times New Roman"/>
          <w:sz w:val="17"/>
          <w:szCs w:val="17"/>
        </w:rPr>
        <w:t>: Patrones creacionales tratan con las formas de crear instancias de objetos. El objetivo de estos patrones es de abstraer el proceso de instanciación y ocultar los detalles de cómo los objetos son creados o inicializados.</w:t>
      </w:r>
    </w:p>
    <w:p w:rsidR="00BF7BF7" w:rsidRPr="00BF7BF7" w:rsidRDefault="00BF7BF7" w:rsidP="00BF7BF7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Estructurales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: Los patrones estructurales describen como las clases y objetos pueden ser combinados para formar grandes estructuras y proporcionar nuevas funcionalidades. Estos objetos adicionados pueden ser incluso objetos simples u objetos compuestos. </w:t>
      </w:r>
    </w:p>
    <w:p w:rsidR="00BF7BF7" w:rsidRPr="00BF7BF7" w:rsidRDefault="00BF7BF7" w:rsidP="00BF7BF7">
      <w:pPr>
        <w:numPr>
          <w:ilvl w:val="0"/>
          <w:numId w:val="1"/>
        </w:numPr>
        <w:spacing w:before="100" w:beforeAutospacing="1" w:after="100" w:afterAutospacing="1" w:line="240" w:lineRule="auto"/>
        <w:ind w:left="870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Comportamiento</w:t>
      </w:r>
      <w:r w:rsidRPr="00BF7BF7">
        <w:rPr>
          <w:rFonts w:ascii="inherit" w:eastAsia="Times New Roman" w:hAnsi="inherit" w:cs="Times New Roman"/>
          <w:sz w:val="17"/>
          <w:szCs w:val="17"/>
        </w:rPr>
        <w:t>: Los patrones de comportamiento nos ayudan a definir la comunicación e iteración entre los objetos de un sistema. El propósito de este patrón es reducir el acoplamiento entre los objetos.</w:t>
      </w:r>
    </w:p>
    <w:p w:rsidR="00BF7BF7" w:rsidRDefault="00BF7BF7" w:rsidP="00BF7BF7">
      <w:pPr>
        <w:rPr>
          <w:rFonts w:ascii="inherit" w:eastAsia="Times New Roman" w:hAnsi="inherit" w:cs="Times New Roman"/>
          <w:sz w:val="17"/>
          <w:szCs w:val="17"/>
          <w:lang w:val="en-US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 xml:space="preserve">En el segundo nivel, ellos clasificaron los patrones en 2 ámbitos: Clases y objetos. </w:t>
      </w:r>
      <w:proofErr w:type="spellStart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Es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 xml:space="preserve"> </w:t>
      </w:r>
      <w:proofErr w:type="spellStart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así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 xml:space="preserve"> que, </w:t>
      </w:r>
      <w:proofErr w:type="spellStart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tenemos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 xml:space="preserve"> 6 </w:t>
      </w:r>
      <w:proofErr w:type="spellStart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tipos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 xml:space="preserve"> de </w:t>
      </w:r>
      <w:proofErr w:type="spellStart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patrones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:</w:t>
      </w:r>
    </w:p>
    <w:tbl>
      <w:tblPr>
        <w:tblW w:w="4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8"/>
        <w:gridCol w:w="5820"/>
      </w:tblGrid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proofErr w:type="spellStart"/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Creacionales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Creacional de la Clase</w:t>
            </w: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br/>
              <w:t xml:space="preserve">Los patrones creacionales de Clases usan la herencia como un mecanismo para lograr la instanciación de la Clase.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Por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ejemplo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el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método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Factoría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.</w:t>
            </w:r>
          </w:p>
          <w:p w:rsidR="00BF7BF7" w:rsidRPr="00BF7BF7" w:rsidRDefault="00BF7BF7" w:rsidP="00BF7B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Creacional del objeto</w:t>
            </w: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br/>
              <w:t xml:space="preserve">Los patrones creacionales de objetos son más escalables y dinámicos comparados de los patrones creacionales de Clases.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Por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ejemplo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la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Factoría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abstracta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y el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patrón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Singleton. 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proofErr w:type="spellStart"/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Estructurales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Estructural de la Clase</w:t>
            </w: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br/>
              <w:t xml:space="preserve">Los patrones estructurales de Clases usan la herencia para proporcionar interfaces más útiles combinando la funcionalidad de múltiples Clases.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Por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ejemplo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el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patrón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Adaptador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(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Clase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). </w:t>
            </w:r>
          </w:p>
          <w:p w:rsidR="00BF7BF7" w:rsidRPr="00BF7BF7" w:rsidRDefault="00BF7BF7" w:rsidP="00BF7B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lastRenderedPageBreak/>
              <w:t>Estructural de Objetos</w:t>
            </w: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br/>
              <w:t xml:space="preserve">Los patrones estructurales de objetos crean objetos complejos agregando objetos individuales para construir grandes estructuras. La composición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de l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patrón estructural del objeto puede ser cambiado en tiempo de ejecución, el cual nos da flexibilidad adicional sobre los patrones estructurales de Clases.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Por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ejemplo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el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Adaptador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(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Objeto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), Facade, Bridge, Composite. 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proofErr w:type="spellStart"/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lastRenderedPageBreak/>
              <w:t>Comportamiento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Comportamiento de Clase</w:t>
            </w: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br/>
              <w:t xml:space="preserve">Los patrones de comportamiento de Clases usan la herencia para distribuir el comportamiento entre Clases.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Por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ejemplo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Interpreter. </w:t>
            </w:r>
          </w:p>
          <w:p w:rsidR="00BF7BF7" w:rsidRPr="00BF7BF7" w:rsidRDefault="00BF7BF7" w:rsidP="00BF7B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</w:rPr>
              <w:t>Comportamiento de Objeto</w:t>
            </w: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br/>
              <w:t xml:space="preserve">Los patrones de comportamiento de objetos nos permite analizar los patrones de comunicación entre objetos interconectados, como objetos incluidos en un objeto complejo.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Ejemplo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Iterator, Observer, Visitor. </w:t>
            </w:r>
          </w:p>
        </w:tc>
      </w:tr>
    </w:tbl>
    <w:p w:rsidR="00BF7BF7" w:rsidRPr="00BF7BF7" w:rsidRDefault="00BF7BF7" w:rsidP="00BF7BF7">
      <w:pPr>
        <w:spacing w:after="0" w:line="240" w:lineRule="auto"/>
        <w:jc w:val="both"/>
        <w:rPr>
          <w:rFonts w:ascii="inherit" w:eastAsia="Times New Roman" w:hAnsi="inherit" w:cs="Times New Roman"/>
          <w:sz w:val="17"/>
          <w:szCs w:val="17"/>
          <w:lang w:val="en-US"/>
        </w:rPr>
      </w:pPr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br/>
      </w:r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br/>
      </w:r>
      <w:proofErr w:type="spellStart"/>
      <w:r w:rsidRPr="00BF7BF7">
        <w:rPr>
          <w:rFonts w:ascii="inherit" w:eastAsia="Times New Roman" w:hAnsi="inherit" w:cs="Times New Roman"/>
          <w:sz w:val="28"/>
          <w:szCs w:val="28"/>
          <w:lang w:val="en-US"/>
        </w:rPr>
        <w:t>Patrones</w:t>
      </w:r>
      <w:proofErr w:type="spellEnd"/>
      <w:r w:rsidRPr="00BF7BF7">
        <w:rPr>
          <w:rFonts w:ascii="inherit" w:eastAsia="Times New Roman" w:hAnsi="inherit" w:cs="Times New Roman"/>
          <w:sz w:val="28"/>
          <w:szCs w:val="28"/>
          <w:lang w:val="en-US"/>
        </w:rPr>
        <w:t xml:space="preserve"> J2EE</w:t>
      </w:r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 xml:space="preserve"> 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 xml:space="preserve">Con la aparición del </w:t>
      </w: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J2EE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, todo un nuevo catálogo de patrones de diseño apareció. Desde que </w:t>
      </w:r>
      <w:r w:rsidRPr="00BF7BF7">
        <w:rPr>
          <w:rFonts w:ascii="inherit" w:eastAsia="Times New Roman" w:hAnsi="inherit" w:cs="Times New Roman"/>
          <w:b/>
          <w:bCs/>
          <w:sz w:val="17"/>
          <w:szCs w:val="17"/>
        </w:rPr>
        <w:t>J2EE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es una arquitectura por si misma que involucra otras arquitecturas, incluyendo </w:t>
      </w:r>
      <w:proofErr w:type="spellStart"/>
      <w:r w:rsidRPr="00BF7BF7">
        <w:rPr>
          <w:rFonts w:ascii="inherit" w:eastAsia="Times New Roman" w:hAnsi="inherit" w:cs="Times New Roman"/>
          <w:sz w:val="17"/>
          <w:szCs w:val="17"/>
        </w:rPr>
        <w:t>servlets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</w:rPr>
        <w:t xml:space="preserve">,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JavaServer</w:t>
      </w:r>
      <w:proofErr w:type="spellEnd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 xml:space="preserve">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Pages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</w:rPr>
        <w:t xml:space="preserve">, </w:t>
      </w:r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Enterprise JavaBeans</w:t>
      </w:r>
      <w:r w:rsidRPr="00BF7BF7">
        <w:rPr>
          <w:rFonts w:ascii="inherit" w:eastAsia="Times New Roman" w:hAnsi="inherit" w:cs="Times New Roman"/>
          <w:sz w:val="17"/>
          <w:szCs w:val="17"/>
        </w:rPr>
        <w:t>, y más, merece su propio conjunto de patrones específicos para diferentes aplicaciones empresariales.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>De acuerdo al libro "</w:t>
      </w:r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 xml:space="preserve">J2EE PATTERNS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Best</w:t>
      </w:r>
      <w:proofErr w:type="spellEnd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 xml:space="preserve">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Practices</w:t>
      </w:r>
      <w:proofErr w:type="spellEnd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 xml:space="preserve"> and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Design</w:t>
      </w:r>
      <w:proofErr w:type="spellEnd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 xml:space="preserve"> </w:t>
      </w:r>
      <w:proofErr w:type="spellStart"/>
      <w:r w:rsidRPr="00BF7BF7">
        <w:rPr>
          <w:rFonts w:ascii="inherit" w:eastAsia="Times New Roman" w:hAnsi="inherit" w:cs="Times New Roman"/>
          <w:i/>
          <w:iCs/>
          <w:sz w:val="17"/>
          <w:szCs w:val="17"/>
        </w:rPr>
        <w:t>Strategies</w:t>
      </w:r>
      <w:proofErr w:type="spellEnd"/>
      <w:r w:rsidRPr="00BF7BF7">
        <w:rPr>
          <w:rFonts w:ascii="inherit" w:eastAsia="Times New Roman" w:hAnsi="inherit" w:cs="Times New Roman"/>
          <w:sz w:val="17"/>
          <w:szCs w:val="17"/>
        </w:rPr>
        <w:t>", existen 5 capas en la arquitectura J2EE:</w:t>
      </w:r>
    </w:p>
    <w:p w:rsidR="00BF7BF7" w:rsidRPr="00BF7BF7" w:rsidRDefault="00BF7BF7" w:rsidP="00BF7BF7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jc w:val="both"/>
        <w:rPr>
          <w:rFonts w:ascii="inherit" w:eastAsia="Times New Roman" w:hAnsi="inherit" w:cs="Times New Roman"/>
          <w:sz w:val="17"/>
          <w:szCs w:val="17"/>
          <w:lang w:val="en-US"/>
        </w:rPr>
      </w:pPr>
      <w:proofErr w:type="spellStart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Cliente</w:t>
      </w:r>
      <w:proofErr w:type="spellEnd"/>
    </w:p>
    <w:p w:rsidR="00BF7BF7" w:rsidRPr="00BF7BF7" w:rsidRDefault="00BF7BF7" w:rsidP="00BF7BF7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jc w:val="both"/>
        <w:rPr>
          <w:rFonts w:ascii="inherit" w:eastAsia="Times New Roman" w:hAnsi="inherit" w:cs="Times New Roman"/>
          <w:sz w:val="17"/>
          <w:szCs w:val="17"/>
          <w:lang w:val="en-US"/>
        </w:rPr>
      </w:pPr>
      <w:proofErr w:type="spellStart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Presentación</w:t>
      </w:r>
      <w:proofErr w:type="spellEnd"/>
    </w:p>
    <w:p w:rsidR="00BF7BF7" w:rsidRPr="00BF7BF7" w:rsidRDefault="00BF7BF7" w:rsidP="00BF7BF7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jc w:val="both"/>
        <w:rPr>
          <w:rFonts w:ascii="inherit" w:eastAsia="Times New Roman" w:hAnsi="inherit" w:cs="Times New Roman"/>
          <w:sz w:val="17"/>
          <w:szCs w:val="17"/>
          <w:lang w:val="en-US"/>
        </w:rPr>
      </w:pPr>
      <w:proofErr w:type="spellStart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Negocios</w:t>
      </w:r>
      <w:proofErr w:type="spellEnd"/>
    </w:p>
    <w:p w:rsidR="00BF7BF7" w:rsidRPr="00BF7BF7" w:rsidRDefault="00BF7BF7" w:rsidP="00BF7BF7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jc w:val="both"/>
        <w:rPr>
          <w:rFonts w:ascii="inherit" w:eastAsia="Times New Roman" w:hAnsi="inherit" w:cs="Times New Roman"/>
          <w:sz w:val="17"/>
          <w:szCs w:val="17"/>
          <w:lang w:val="en-US"/>
        </w:rPr>
      </w:pPr>
      <w:proofErr w:type="spellStart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Integración</w:t>
      </w:r>
      <w:proofErr w:type="spellEnd"/>
    </w:p>
    <w:p w:rsidR="00BF7BF7" w:rsidRPr="00BF7BF7" w:rsidRDefault="00BF7BF7" w:rsidP="00BF7BF7">
      <w:pPr>
        <w:numPr>
          <w:ilvl w:val="0"/>
          <w:numId w:val="5"/>
        </w:numPr>
        <w:spacing w:before="100" w:beforeAutospacing="1" w:after="100" w:afterAutospacing="1" w:line="240" w:lineRule="auto"/>
        <w:ind w:left="870"/>
        <w:jc w:val="both"/>
        <w:rPr>
          <w:rFonts w:ascii="inherit" w:eastAsia="Times New Roman" w:hAnsi="inherit" w:cs="Times New Roman"/>
          <w:sz w:val="17"/>
          <w:szCs w:val="17"/>
          <w:lang w:val="en-US"/>
        </w:rPr>
      </w:pPr>
      <w:proofErr w:type="spellStart"/>
      <w:r w:rsidRPr="00BF7BF7">
        <w:rPr>
          <w:rFonts w:ascii="inherit" w:eastAsia="Times New Roman" w:hAnsi="inherit" w:cs="Times New Roman"/>
          <w:sz w:val="17"/>
          <w:szCs w:val="17"/>
          <w:lang w:val="en-US"/>
        </w:rPr>
        <w:t>Recurso</w:t>
      </w:r>
      <w:proofErr w:type="spellEnd"/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t>El libro explica 15 patrones J2EE que están divididos en 3 de las capas: presentación, negocios e integración.</w:t>
      </w:r>
    </w:p>
    <w:p w:rsidR="00BF7BF7" w:rsidRPr="00BF7BF7" w:rsidRDefault="00BF7BF7" w:rsidP="00BF7BF7">
      <w:pPr>
        <w:spacing w:after="240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17"/>
          <w:szCs w:val="17"/>
        </w:rPr>
        <w:br/>
      </w:r>
      <w:r w:rsidRPr="00BF7BF7">
        <w:rPr>
          <w:rFonts w:ascii="inherit" w:eastAsia="Times New Roman" w:hAnsi="inherit" w:cs="Times New Roman"/>
          <w:sz w:val="17"/>
          <w:szCs w:val="17"/>
        </w:rPr>
        <w:br/>
      </w:r>
      <w:r w:rsidRPr="00BF7BF7">
        <w:rPr>
          <w:rFonts w:ascii="inherit" w:eastAsia="Times New Roman" w:hAnsi="inherit" w:cs="Times New Roman"/>
          <w:sz w:val="28"/>
          <w:szCs w:val="28"/>
        </w:rPr>
        <w:t>Catálogo de patrones J2EE</w:t>
      </w:r>
      <w:r w:rsidRPr="00BF7BF7">
        <w:rPr>
          <w:rFonts w:ascii="inherit" w:eastAsia="Times New Roman" w:hAnsi="inherit" w:cs="Times New Roman"/>
          <w:sz w:val="17"/>
          <w:szCs w:val="17"/>
        </w:rPr>
        <w:t xml:space="preserve"> </w:t>
      </w: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  <w:r w:rsidRPr="00BF7BF7">
        <w:rPr>
          <w:rFonts w:ascii="inherit" w:eastAsia="Times New Roman" w:hAnsi="inherit" w:cs="Times New Roman"/>
          <w:sz w:val="24"/>
          <w:szCs w:val="24"/>
        </w:rPr>
        <w:t>Capa de Presentación</w:t>
      </w:r>
    </w:p>
    <w:tbl>
      <w:tblPr>
        <w:tblW w:w="4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68"/>
        <w:gridCol w:w="5840"/>
      </w:tblGrid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Decorating Filter / Intercepting Filter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Un objeto que está entre el cliente y los componentes Web. Este procesa las peticiones y las respuestas.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Front Controller/ Front 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Un objeto que acepta todos los requerimientos de un cliente y los direcciona a manejadores apropiados. El patrón Front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Controller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podría dividir la funcionalidad en 2 diferentes objetos: el </w:t>
            </w:r>
            <w:r w:rsidRPr="00BF7BF7">
              <w:rPr>
                <w:rFonts w:ascii="inherit" w:eastAsia="Times New Roman" w:hAnsi="inherit" w:cs="Times New Roman"/>
                <w:i/>
                <w:iCs/>
                <w:sz w:val="17"/>
                <w:szCs w:val="17"/>
              </w:rPr>
              <w:t xml:space="preserve">Front </w:t>
            </w:r>
            <w:proofErr w:type="spellStart"/>
            <w:r w:rsidRPr="00BF7BF7">
              <w:rPr>
                <w:rFonts w:ascii="inherit" w:eastAsia="Times New Roman" w:hAnsi="inherit" w:cs="Times New Roman"/>
                <w:i/>
                <w:iCs/>
                <w:sz w:val="17"/>
                <w:szCs w:val="17"/>
              </w:rPr>
              <w:t>Controller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y el </w:t>
            </w:r>
            <w:proofErr w:type="spellStart"/>
            <w:r w:rsidRPr="00BF7BF7">
              <w:rPr>
                <w:rFonts w:ascii="inherit" w:eastAsia="Times New Roman" w:hAnsi="inherit" w:cs="Times New Roman"/>
                <w:i/>
                <w:iCs/>
                <w:sz w:val="17"/>
                <w:szCs w:val="17"/>
              </w:rPr>
              <w:t>Dispatcher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. En ese caso, El Front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Controller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acepta todos los requerimientos de un cliente y realiza la autenticación, y el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Dispatcher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direcciona los requerimientos a manejadores apropiada.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View Helper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Un objeto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helper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que encapsula la lógica de acceso a datos en beneficio de los componentes de la presentación. Por ejemplo, los </w:t>
            </w:r>
            <w:r w:rsidRPr="00BF7BF7">
              <w:rPr>
                <w:rFonts w:ascii="inherit" w:eastAsia="Times New Roman" w:hAnsi="inherit" w:cs="Times New Roman"/>
                <w:i/>
                <w:iCs/>
                <w:sz w:val="17"/>
                <w:szCs w:val="17"/>
              </w:rPr>
              <w:t>JavaBeans</w:t>
            </w: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pueden ser usados como patrón View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Helper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para las páginas JSP.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Composite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Un objeto vista que está compuesto de otros objetos vista. Por ejemplo, una página </w:t>
            </w:r>
            <w:r w:rsidRPr="00BF7BF7">
              <w:rPr>
                <w:rFonts w:ascii="inherit" w:eastAsia="Times New Roman" w:hAnsi="inherit" w:cs="Times New Roman"/>
                <w:i/>
                <w:iCs/>
                <w:sz w:val="17"/>
                <w:szCs w:val="17"/>
              </w:rPr>
              <w:t>JSP</w:t>
            </w: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que incluye otras páginas JSP y </w:t>
            </w:r>
            <w:r w:rsidRPr="00BF7BF7">
              <w:rPr>
                <w:rFonts w:ascii="inherit" w:eastAsia="Times New Roman" w:hAnsi="inherit" w:cs="Times New Roman"/>
                <w:i/>
                <w:iCs/>
                <w:sz w:val="17"/>
                <w:szCs w:val="17"/>
              </w:rPr>
              <w:t>HTML</w:t>
            </w: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usando la directiva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include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o el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action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include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es un patrón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Composite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View.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 xml:space="preserve">Service </w:t>
            </w:r>
            <w:proofErr w:type="gramStart"/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To</w:t>
            </w:r>
            <w:proofErr w:type="gramEnd"/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 xml:space="preserve"> Worker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Es como el patrón de diseño MVC con el Controlador actuando como Front </w:t>
            </w:r>
            <w:proofErr w:type="spellStart"/>
            <w:proofErr w:type="gram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Controller</w:t>
            </w:r>
            <w:proofErr w:type="spellEnd"/>
            <w:proofErr w:type="gram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pero con una cosa importante: aquí el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Dispatcher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(el cual es parte del Front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Controller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) usa View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Helpers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a gran escala y ayuda en el manejo de la vista.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lastRenderedPageBreak/>
              <w:t>Dispatcher 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Es como el patrón de diseño MVC con el controlador actuando como Front </w:t>
            </w:r>
            <w:proofErr w:type="spellStart"/>
            <w:proofErr w:type="gram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Controller</w:t>
            </w:r>
            <w:proofErr w:type="spellEnd"/>
            <w:proofErr w:type="gram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pero con un asunto importante: aquí el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Dispatcher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(el cual es parte del Front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Controller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) no usa View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Helpers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y realiza muy poco trabajo en el manejo de la vista. El manejo de la vista es manejado por los mismos componentes de la Vista.</w:t>
            </w:r>
          </w:p>
        </w:tc>
      </w:tr>
    </w:tbl>
    <w:p w:rsidR="00BF7BF7" w:rsidRPr="00BF7BF7" w:rsidRDefault="00BF7BF7" w:rsidP="00BF7BF7">
      <w:pPr>
        <w:spacing w:after="0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  <w:lang w:val="en-US"/>
        </w:rPr>
      </w:pPr>
      <w:proofErr w:type="spellStart"/>
      <w:r w:rsidRPr="00BF7BF7">
        <w:rPr>
          <w:rFonts w:ascii="inherit" w:eastAsia="Times New Roman" w:hAnsi="inherit" w:cs="Times New Roman"/>
          <w:sz w:val="24"/>
          <w:szCs w:val="24"/>
          <w:lang w:val="en-US"/>
        </w:rPr>
        <w:t>Capa</w:t>
      </w:r>
      <w:proofErr w:type="spellEnd"/>
      <w:r w:rsidRPr="00BF7BF7">
        <w:rPr>
          <w:rFonts w:ascii="inherit" w:eastAsia="Times New Roman" w:hAnsi="inherit" w:cs="Times New Roman"/>
          <w:sz w:val="24"/>
          <w:szCs w:val="24"/>
          <w:lang w:val="en-US"/>
        </w:rPr>
        <w:t xml:space="preserve"> de </w:t>
      </w:r>
      <w:proofErr w:type="spellStart"/>
      <w:r w:rsidRPr="00BF7BF7">
        <w:rPr>
          <w:rFonts w:ascii="inherit" w:eastAsia="Times New Roman" w:hAnsi="inherit" w:cs="Times New Roman"/>
          <w:sz w:val="24"/>
          <w:szCs w:val="24"/>
          <w:lang w:val="en-US"/>
        </w:rPr>
        <w:t>Negocios</w:t>
      </w:r>
      <w:proofErr w:type="spellEnd"/>
    </w:p>
    <w:p w:rsidR="00BF7BF7" w:rsidRPr="00BF7BF7" w:rsidRDefault="00BF7BF7" w:rsidP="00BF7BF7">
      <w:pPr>
        <w:spacing w:after="0" w:line="240" w:lineRule="auto"/>
        <w:jc w:val="both"/>
        <w:rPr>
          <w:rFonts w:ascii="inherit" w:eastAsia="Times New Roman" w:hAnsi="inherit" w:cs="Times New Roman"/>
          <w:sz w:val="17"/>
          <w:szCs w:val="17"/>
          <w:lang w:val="en-US"/>
        </w:rPr>
      </w:pPr>
    </w:p>
    <w:tbl>
      <w:tblPr>
        <w:tblW w:w="4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6"/>
        <w:gridCol w:w="5582"/>
      </w:tblGrid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Business Delegate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Un objeto que reside en la capa de presentación y en beneficio de los otros componentes de la capa de presentación llama a métodos remotos en los objetos de la capa de negocios.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Value Object/ Data Transfer Object/ Replicate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Un objeto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serializable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para la transferencia de datos sobre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lar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red.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Session Façade/ Session Entity Façade/ Distributed Façade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El uso de un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bean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de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sesion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como una fachada (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facade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) para encapsular la complejidad de las interacciones entre los objetos de negocio y participantes en un flujo de trabajo. El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Session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Façade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maneja los objetos de negocio y proporciona un servicio de acceso uniforme a los clientes.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Aggregate Entity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Un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bean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entidad que es construido o es agregado a otros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beans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de entidad.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Value Object Assembler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Un objeto que reside en la capa de negocios y crea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Value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Objets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cuando es requerido.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Value List Handler/ Page-by-Page Iterator/ Paged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Es un objeto que maneja la ejecución de consultas SQL, caché y procesamiento del resultado.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Usualmente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implementado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como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 xml:space="preserve"> beans de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sesión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  <w:t>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Service Locator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Consiste en utilizar un objeto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Service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Locutor para abstraer toda la utilización JNDI y para ocultar las complejidades de la creación del contexto inicial, de búsqueda de objetos home EJB y recreación de objetos EJB. Varios clientes pueden reutilizar el objeto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Service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Locutor para reducir la complejidad del código, proporcionando un punto de control. </w:t>
            </w:r>
          </w:p>
        </w:tc>
      </w:tr>
    </w:tbl>
    <w:p w:rsidR="00BF7BF7" w:rsidRPr="00BF7BF7" w:rsidRDefault="00BF7BF7" w:rsidP="00BF7BF7">
      <w:pPr>
        <w:spacing w:after="0" w:line="240" w:lineRule="auto"/>
        <w:jc w:val="both"/>
        <w:rPr>
          <w:rFonts w:ascii="inherit" w:eastAsia="Times New Roman" w:hAnsi="inherit" w:cs="Times New Roman"/>
          <w:sz w:val="17"/>
          <w:szCs w:val="17"/>
        </w:rPr>
      </w:pPr>
    </w:p>
    <w:p w:rsidR="00BF7BF7" w:rsidRPr="00BF7BF7" w:rsidRDefault="00BF7BF7" w:rsidP="00BF7BF7">
      <w:p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sz w:val="17"/>
          <w:szCs w:val="17"/>
          <w:lang w:val="en-US"/>
        </w:rPr>
      </w:pPr>
      <w:proofErr w:type="spellStart"/>
      <w:r w:rsidRPr="00BF7BF7">
        <w:rPr>
          <w:rFonts w:ascii="inherit" w:eastAsia="Times New Roman" w:hAnsi="inherit" w:cs="Times New Roman"/>
          <w:sz w:val="24"/>
          <w:szCs w:val="24"/>
          <w:lang w:val="en-US"/>
        </w:rPr>
        <w:t>Capa</w:t>
      </w:r>
      <w:proofErr w:type="spellEnd"/>
      <w:r w:rsidRPr="00BF7BF7">
        <w:rPr>
          <w:rFonts w:ascii="inherit" w:eastAsia="Times New Roman" w:hAnsi="inherit" w:cs="Times New Roman"/>
          <w:sz w:val="24"/>
          <w:szCs w:val="24"/>
          <w:lang w:val="en-US"/>
        </w:rPr>
        <w:t xml:space="preserve"> de </w:t>
      </w:r>
      <w:proofErr w:type="spellStart"/>
      <w:r w:rsidRPr="00BF7BF7">
        <w:rPr>
          <w:rFonts w:ascii="inherit" w:eastAsia="Times New Roman" w:hAnsi="inherit" w:cs="Times New Roman"/>
          <w:sz w:val="24"/>
          <w:szCs w:val="24"/>
          <w:lang w:val="en-US"/>
        </w:rPr>
        <w:t>Integración</w:t>
      </w:r>
      <w:bookmarkStart w:id="0" w:name="_GoBack"/>
      <w:bookmarkEnd w:id="0"/>
      <w:proofErr w:type="spellEnd"/>
    </w:p>
    <w:p w:rsidR="00BF7BF7" w:rsidRPr="00BF7BF7" w:rsidRDefault="00BF7BF7" w:rsidP="00BF7BF7">
      <w:pPr>
        <w:spacing w:after="0" w:line="240" w:lineRule="auto"/>
        <w:jc w:val="both"/>
        <w:rPr>
          <w:rFonts w:ascii="inherit" w:eastAsia="Times New Roman" w:hAnsi="inherit" w:cs="Times New Roman"/>
          <w:sz w:val="17"/>
          <w:szCs w:val="17"/>
          <w:lang w:val="en-US"/>
        </w:rPr>
      </w:pPr>
    </w:p>
    <w:tbl>
      <w:tblPr>
        <w:tblW w:w="4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46"/>
        <w:gridCol w:w="5762"/>
      </w:tblGrid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Data Access Object Service Activator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Consiste en utilizar un objeto de acceso a datos para abstraer y encapsular todos los accesos a la fuente de datos. El DAO maneja la conexión con la fuente de datos para obtener y almacenar datos.</w:t>
            </w:r>
          </w:p>
        </w:tc>
      </w:tr>
      <w:tr w:rsidR="00BF7BF7" w:rsidRPr="00BF7BF7" w:rsidTr="00BF7BF7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  <w:lang w:val="en-US"/>
              </w:rPr>
            </w:pPr>
            <w:r w:rsidRPr="00BF7BF7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lang w:val="en-US"/>
              </w:rPr>
              <w:t>Service Activator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F7BF7" w:rsidRPr="00BF7BF7" w:rsidRDefault="00BF7BF7" w:rsidP="00BF7BF7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Se utiliza para recibir peticiones y mensajes asíncronos de los clientes. Cuando se recibe un mensaje, el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Service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</w:t>
            </w:r>
            <w:proofErr w:type="spellStart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>Activator</w:t>
            </w:r>
            <w:proofErr w:type="spellEnd"/>
            <w:r w:rsidRPr="00BF7BF7">
              <w:rPr>
                <w:rFonts w:ascii="inherit" w:eastAsia="Times New Roman" w:hAnsi="inherit" w:cs="Times New Roman"/>
                <w:sz w:val="17"/>
                <w:szCs w:val="17"/>
              </w:rPr>
              <w:t xml:space="preserve"> localiza e invoca a los métodos de los componentes de negocio necesarios para cumplir la petición de forma asíncrona.</w:t>
            </w:r>
          </w:p>
        </w:tc>
      </w:tr>
    </w:tbl>
    <w:p w:rsidR="00BF7BF7" w:rsidRDefault="00BF7BF7" w:rsidP="00BF7BF7"/>
    <w:p w:rsidR="00BF7BF7" w:rsidRDefault="00BF7BF7" w:rsidP="00BF7BF7"/>
    <w:p w:rsidR="00BF7BF7" w:rsidRDefault="00BF7BF7" w:rsidP="00BF7BF7"/>
    <w:p w:rsidR="00BF7BF7" w:rsidRDefault="00BF7BF7" w:rsidP="00BF7BF7"/>
    <w:p w:rsidR="00BF7BF7" w:rsidRDefault="00BF7BF7" w:rsidP="00BF7BF7"/>
    <w:p w:rsidR="00BF7BF7" w:rsidRDefault="00BF7BF7" w:rsidP="00BF7BF7"/>
    <w:p w:rsidR="0067162F" w:rsidRDefault="0067162F"/>
    <w:sectPr w:rsidR="006716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26B69"/>
    <w:multiLevelType w:val="multilevel"/>
    <w:tmpl w:val="E98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329FF"/>
    <w:multiLevelType w:val="multilevel"/>
    <w:tmpl w:val="AD2A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26002"/>
    <w:multiLevelType w:val="multilevel"/>
    <w:tmpl w:val="F680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741A0"/>
    <w:multiLevelType w:val="multilevel"/>
    <w:tmpl w:val="CECC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B3B44"/>
    <w:multiLevelType w:val="multilevel"/>
    <w:tmpl w:val="E0F8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F7"/>
    <w:rsid w:val="0067162F"/>
    <w:rsid w:val="00B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EF72"/>
  <w15:chartTrackingRefBased/>
  <w15:docId w15:val="{ACA78F13-62AC-4771-B456-193C7451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4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1837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077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4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1524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0248">
                  <w:marLeft w:val="15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534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8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2044821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2" w:color="818B92"/>
                <w:right w:val="none" w:sz="0" w:space="0" w:color="auto"/>
              </w:divBdr>
            </w:div>
            <w:div w:id="2037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3052">
                  <w:marLeft w:val="150"/>
                  <w:marRight w:val="1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942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287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563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98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4318">
                  <w:marLeft w:val="15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923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Mendez</dc:creator>
  <cp:keywords/>
  <dc:description/>
  <cp:lastModifiedBy>Joel Mendez</cp:lastModifiedBy>
  <cp:revision>1</cp:revision>
  <dcterms:created xsi:type="dcterms:W3CDTF">2016-04-21T05:42:00Z</dcterms:created>
  <dcterms:modified xsi:type="dcterms:W3CDTF">2016-04-21T05:45:00Z</dcterms:modified>
</cp:coreProperties>
</file>