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6D3D12">
      <w:pPr>
        <w:snapToGrid w:val="0"/>
        <w:jc w:val="center"/>
        <w:rPr>
          <w:rFonts w:hint="eastAsia" w:eastAsia="楷体_GB2312"/>
          <w:sz w:val="52"/>
          <w:szCs w:val="52"/>
          <w:lang w:eastAsia="zh-CN"/>
        </w:rPr>
      </w:pPr>
    </w:p>
    <w:p w14:paraId="663DB72C">
      <w:pPr>
        <w:snapToGrid w:val="0"/>
        <w:jc w:val="center"/>
        <w:rPr>
          <w:rFonts w:hint="eastAsia" w:eastAsia="楷体_GB2312"/>
          <w:sz w:val="52"/>
          <w:szCs w:val="52"/>
          <w:lang w:eastAsia="zh-CN"/>
        </w:rPr>
      </w:pPr>
    </w:p>
    <w:p w14:paraId="2BD41A60">
      <w:pPr>
        <w:snapToGrid w:val="0"/>
        <w:jc w:val="center"/>
        <w:rPr>
          <w:rFonts w:hint="eastAsia" w:eastAsia="楷体_GB2312"/>
          <w:sz w:val="52"/>
          <w:szCs w:val="52"/>
          <w:lang w:eastAsia="zh-CN"/>
        </w:rPr>
      </w:pPr>
    </w:p>
    <w:p w14:paraId="46C1B43E">
      <w:pPr>
        <w:snapToGrid w:val="0"/>
        <w:jc w:val="center"/>
        <w:rPr>
          <w:rFonts w:eastAsia="楷体_GB2312"/>
          <w:sz w:val="52"/>
          <w:szCs w:val="52"/>
          <w:lang w:eastAsia="zh-CN"/>
        </w:rPr>
      </w:pPr>
      <w:r>
        <w:rPr>
          <w:rFonts w:hint="eastAsia" w:eastAsia="楷体_GB2312"/>
          <w:sz w:val="52"/>
          <w:szCs w:val="52"/>
          <w:lang w:eastAsia="zh-CN"/>
        </w:rPr>
        <w:t>HIS医院门诊管理系统原型设计说明书</w:t>
      </w:r>
    </w:p>
    <w:p w14:paraId="6B90BCC7">
      <w:pPr>
        <w:snapToGrid w:val="0"/>
        <w:jc w:val="center"/>
        <w:rPr>
          <w:rFonts w:eastAsia="楷体_GB2312"/>
          <w:sz w:val="52"/>
          <w:szCs w:val="52"/>
        </w:rPr>
      </w:pPr>
    </w:p>
    <w:p w14:paraId="46BC10FB">
      <w:pPr>
        <w:snapToGrid w:val="0"/>
        <w:jc w:val="center"/>
        <w:rPr>
          <w:rFonts w:ascii="楷体_GB2312" w:hAnsi="楷体_GB2312" w:eastAsia="楷体_GB2312"/>
          <w:b/>
          <w:sz w:val="28"/>
        </w:rPr>
      </w:pPr>
    </w:p>
    <w:p w14:paraId="3B69C2E4">
      <w:pPr>
        <w:snapToGrid w:val="0"/>
        <w:jc w:val="center"/>
        <w:rPr>
          <w:rFonts w:eastAsia="楷体_GB2312"/>
          <w:szCs w:val="24"/>
        </w:rPr>
      </w:pPr>
      <w:r>
        <w:rPr>
          <w:rFonts w:ascii="楷体_GB2312" w:hAnsi="楷体_GB2312" w:eastAsia="楷体_GB2312"/>
          <w:szCs w:val="24"/>
        </w:rPr>
        <w:t>版本：</w:t>
      </w:r>
      <w:r>
        <w:rPr>
          <w:rFonts w:eastAsia="楷体_GB2312"/>
          <w:szCs w:val="24"/>
          <w:lang w:eastAsia="zh-CN"/>
        </w:rPr>
        <w:t>1</w:t>
      </w:r>
      <w:r>
        <w:rPr>
          <w:rFonts w:eastAsia="楷体_GB2312"/>
          <w:szCs w:val="24"/>
        </w:rPr>
        <w:t>.</w:t>
      </w:r>
      <w:r>
        <w:rPr>
          <w:rFonts w:hint="eastAsia" w:eastAsia="楷体_GB2312"/>
          <w:szCs w:val="24"/>
          <w:lang w:eastAsia="zh-CN"/>
        </w:rPr>
        <w:t>0</w:t>
      </w:r>
      <w:r>
        <w:rPr>
          <w:rFonts w:eastAsia="楷体_GB2312"/>
          <w:szCs w:val="24"/>
        </w:rPr>
        <w:t>.</w:t>
      </w:r>
      <w:r>
        <w:rPr>
          <w:rFonts w:hint="eastAsia" w:eastAsia="楷体_GB2312"/>
          <w:szCs w:val="24"/>
          <w:lang w:eastAsia="zh-CN"/>
        </w:rPr>
        <w:t>0</w:t>
      </w:r>
      <w:r>
        <w:rPr>
          <w:rFonts w:eastAsia="楷体_GB2312"/>
          <w:szCs w:val="24"/>
        </w:rPr>
        <w:t>-0.0.0</w:t>
      </w:r>
    </w:p>
    <w:p w14:paraId="5F06C16A">
      <w:pPr>
        <w:widowControl/>
        <w:suppressAutoHyphens w:val="0"/>
        <w:spacing w:line="240" w:lineRule="auto"/>
        <w:jc w:val="center"/>
        <w:rPr>
          <w:rFonts w:ascii="楷体_GB2312" w:eastAsia="楷体_GB2312"/>
          <w:kern w:val="0"/>
          <w:szCs w:val="24"/>
          <w:lang w:eastAsia="zh-CN"/>
        </w:rPr>
      </w:pPr>
      <w:r>
        <w:rPr>
          <w:rFonts w:hint="eastAsia" w:eastAsia="楷体_GB2312"/>
          <w:szCs w:val="24"/>
          <w:lang w:eastAsia="zh-CN"/>
        </w:rPr>
        <w:t>202</w:t>
      </w:r>
      <w:r>
        <w:rPr>
          <w:rFonts w:hint="eastAsia" w:eastAsia="楷体_GB2312"/>
          <w:szCs w:val="24"/>
          <w:lang w:val="en-US" w:eastAsia="zh-CN"/>
        </w:rPr>
        <w:t>5</w:t>
      </w:r>
      <w:r>
        <w:rPr>
          <w:rFonts w:eastAsia="楷体_GB2312"/>
          <w:szCs w:val="24"/>
        </w:rPr>
        <w:t>-</w:t>
      </w:r>
      <w:r>
        <w:rPr>
          <w:rFonts w:hint="eastAsia" w:eastAsia="楷体_GB2312"/>
          <w:szCs w:val="24"/>
          <w:lang w:val="en-US" w:eastAsia="zh-CN"/>
        </w:rPr>
        <w:t>8</w:t>
      </w:r>
      <w:r>
        <w:rPr>
          <w:rFonts w:eastAsia="楷体_GB2312"/>
          <w:szCs w:val="24"/>
        </w:rPr>
        <w:t>-</w:t>
      </w:r>
      <w:r>
        <w:rPr>
          <w:rFonts w:hint="eastAsia" w:eastAsia="楷体_GB2312"/>
          <w:szCs w:val="24"/>
          <w:lang w:eastAsia="zh-CN"/>
        </w:rPr>
        <w:t>30</w:t>
      </w:r>
    </w:p>
    <w:p w14:paraId="3CAAAE07">
      <w:pPr>
        <w:snapToGrid w:val="0"/>
        <w:rPr>
          <w:sz w:val="28"/>
        </w:rPr>
      </w:pPr>
    </w:p>
    <w:p w14:paraId="518F1B1B">
      <w:pPr>
        <w:snapToGrid w:val="0"/>
        <w:rPr>
          <w:sz w:val="28"/>
        </w:rPr>
      </w:pPr>
    </w:p>
    <w:p w14:paraId="1591D364">
      <w:pPr>
        <w:snapToGrid w:val="0"/>
        <w:rPr>
          <w:sz w:val="28"/>
        </w:rPr>
      </w:pPr>
    </w:p>
    <w:p w14:paraId="2D536BA8">
      <w:pPr>
        <w:snapToGrid w:val="0"/>
        <w:rPr>
          <w:sz w:val="28"/>
        </w:rPr>
      </w:pPr>
    </w:p>
    <w:p w14:paraId="227AABAF">
      <w:pPr>
        <w:snapToGrid w:val="0"/>
        <w:rPr>
          <w:sz w:val="28"/>
        </w:rPr>
      </w:pPr>
    </w:p>
    <w:p w14:paraId="25FFFB0C">
      <w:pPr>
        <w:snapToGrid w:val="0"/>
        <w:rPr>
          <w:sz w:val="28"/>
        </w:rPr>
      </w:pPr>
    </w:p>
    <w:p w14:paraId="7BB33768">
      <w:pPr>
        <w:widowControl/>
        <w:suppressAutoHyphens w:val="0"/>
        <w:autoSpaceDE w:val="0"/>
        <w:spacing w:line="240" w:lineRule="auto"/>
        <w:jc w:val="center"/>
        <w:rPr>
          <w:rFonts w:ascii="楷体_GB2312" w:hAnsi="楷体_GB2312" w:eastAsia="楷体_GB2312"/>
          <w:kern w:val="0"/>
          <w:sz w:val="28"/>
          <w:szCs w:val="28"/>
          <w:lang w:eastAsia="zh-CN"/>
        </w:rPr>
      </w:pPr>
      <w:r>
        <w:rPr>
          <w:rFonts w:ascii="楷体_GB2312" w:hAnsi="楷体_GB2312" w:eastAsia="楷体_GB2312"/>
          <w:kern w:val="0"/>
          <w:sz w:val="28"/>
          <w:szCs w:val="28"/>
          <w:lang w:eastAsia="zh-CN"/>
        </w:rPr>
        <w:t>东软</w:t>
      </w:r>
      <w:r>
        <w:rPr>
          <w:rFonts w:hint="eastAsia" w:ascii="楷体_GB2312" w:hAnsi="楷体_GB2312" w:eastAsia="楷体_GB2312"/>
          <w:kern w:val="0"/>
          <w:sz w:val="28"/>
          <w:szCs w:val="28"/>
          <w:lang w:eastAsia="zh-CN"/>
        </w:rPr>
        <w:t>教育</w:t>
      </w:r>
    </w:p>
    <w:p w14:paraId="6F9C5A22">
      <w:pPr>
        <w:widowControl/>
        <w:suppressAutoHyphens w:val="0"/>
        <w:snapToGrid w:val="0"/>
        <w:spacing w:line="240" w:lineRule="auto"/>
        <w:jc w:val="center"/>
        <w:rPr>
          <w:rFonts w:ascii="黑体" w:hAnsi="黑体" w:eastAsia="黑体"/>
          <w:b/>
          <w:bCs/>
          <w:kern w:val="0"/>
          <w:sz w:val="28"/>
          <w:szCs w:val="28"/>
          <w:lang w:eastAsia="zh-CN"/>
        </w:rPr>
      </w:pPr>
      <w:r>
        <w:rPr>
          <w:rFonts w:ascii="黑体" w:hAnsi="黑体" w:eastAsia="黑体"/>
          <w:b/>
          <w:bCs/>
          <w:kern w:val="0"/>
          <w:sz w:val="28"/>
          <w:szCs w:val="28"/>
          <w:lang w:eastAsia="zh-CN"/>
        </w:rPr>
        <w:t>(版权所有，翻版必究)</w:t>
      </w:r>
    </w:p>
    <w:p w14:paraId="45A33358">
      <w:pPr>
        <w:widowControl/>
        <w:suppressAutoHyphens w:val="0"/>
        <w:spacing w:line="240" w:lineRule="auto"/>
        <w:jc w:val="center"/>
        <w:rPr>
          <w:rFonts w:eastAsia="黑体"/>
          <w:b/>
          <w:bCs/>
          <w:kern w:val="0"/>
          <w:sz w:val="28"/>
          <w:szCs w:val="28"/>
          <w:lang w:eastAsia="zh-CN"/>
        </w:rPr>
      </w:pPr>
      <w:r>
        <w:rPr>
          <w:rFonts w:eastAsia="黑体"/>
          <w:b/>
          <w:bCs/>
          <w:kern w:val="0"/>
          <w:sz w:val="28"/>
          <w:szCs w:val="28"/>
          <w:lang w:eastAsia="zh-CN"/>
        </w:rPr>
        <w:t>Copyright © Neusoft Educational Information Technology Co., Ltd</w:t>
      </w:r>
    </w:p>
    <w:p w14:paraId="2548657A">
      <w:pPr>
        <w:widowControl/>
        <w:suppressAutoHyphens w:val="0"/>
        <w:spacing w:line="240" w:lineRule="auto"/>
        <w:jc w:val="center"/>
        <w:rPr>
          <w:rFonts w:ascii="黑体" w:eastAsia="黑体"/>
          <w:kern w:val="0"/>
          <w:sz w:val="28"/>
          <w:szCs w:val="28"/>
          <w:lang w:eastAsia="zh-CN"/>
        </w:rPr>
      </w:pPr>
      <w:r>
        <w:rPr>
          <w:rFonts w:eastAsia="黑体"/>
          <w:b/>
          <w:bCs/>
          <w:kern w:val="0"/>
          <w:sz w:val="28"/>
          <w:szCs w:val="28"/>
          <w:lang w:eastAsia="zh-CN"/>
        </w:rPr>
        <w:t xml:space="preserve"> All Rights Reserved</w:t>
      </w:r>
    </w:p>
    <w:p w14:paraId="06F9D1AE">
      <w:pPr>
        <w:snapToGrid w:val="0"/>
        <w:jc w:val="center"/>
        <w:rPr>
          <w:rFonts w:eastAsia="黑体"/>
          <w:sz w:val="44"/>
        </w:rPr>
      </w:pPr>
      <w:r>
        <w:rPr>
          <w:rFonts w:eastAsia="黑体"/>
          <w:sz w:val="44"/>
        </w:rPr>
        <w:br w:type="page"/>
      </w:r>
      <w:r>
        <w:rPr>
          <w:rFonts w:eastAsia="黑体"/>
          <w:sz w:val="44"/>
        </w:rPr>
        <w:t>文件修改控制</w:t>
      </w:r>
    </w:p>
    <w:tbl>
      <w:tblPr>
        <w:tblStyle w:val="2"/>
        <w:tblW w:w="8118" w:type="dxa"/>
        <w:tblInd w:w="276" w:type="dxa"/>
        <w:tblLayout w:type="fixed"/>
        <w:tblCellMar>
          <w:top w:w="0" w:type="dxa"/>
          <w:left w:w="30" w:type="dxa"/>
          <w:bottom w:w="0" w:type="dxa"/>
          <w:right w:w="30" w:type="dxa"/>
        </w:tblCellMar>
      </w:tblPr>
      <w:tblGrid>
        <w:gridCol w:w="747"/>
        <w:gridCol w:w="1992"/>
        <w:gridCol w:w="3961"/>
        <w:gridCol w:w="1418"/>
      </w:tblGrid>
      <w:tr w14:paraId="755101BA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436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5CF9E845">
            <w:pPr>
              <w:autoSpaceDE w:val="0"/>
              <w:snapToGrid w:val="0"/>
              <w:jc w:val="center"/>
              <w:rPr>
                <w:rFonts w:eastAsia="楷体_GB2312"/>
                <w:b/>
                <w:szCs w:val="24"/>
              </w:rPr>
            </w:pPr>
            <w:r>
              <w:rPr>
                <w:rFonts w:eastAsia="楷体_GB2312"/>
                <w:b/>
                <w:szCs w:val="24"/>
              </w:rPr>
              <w:t>修改编号</w:t>
            </w: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2EA11F30">
            <w:pPr>
              <w:autoSpaceDE w:val="0"/>
              <w:snapToGrid w:val="0"/>
              <w:jc w:val="center"/>
              <w:rPr>
                <w:rFonts w:eastAsia="楷体_GB2312"/>
                <w:b/>
                <w:szCs w:val="24"/>
              </w:rPr>
            </w:pPr>
            <w:r>
              <w:rPr>
                <w:rFonts w:eastAsia="楷体_GB2312"/>
                <w:b/>
                <w:szCs w:val="24"/>
              </w:rPr>
              <w:t>版本</w:t>
            </w: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5B871274">
            <w:pPr>
              <w:autoSpaceDE w:val="0"/>
              <w:snapToGrid w:val="0"/>
              <w:jc w:val="center"/>
              <w:rPr>
                <w:rFonts w:eastAsia="楷体_GB2312"/>
                <w:b/>
                <w:szCs w:val="24"/>
              </w:rPr>
            </w:pPr>
            <w:r>
              <w:rPr>
                <w:rFonts w:eastAsia="楷体_GB2312"/>
                <w:b/>
                <w:szCs w:val="24"/>
              </w:rPr>
              <w:t>修改条款及内容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37DFAA4">
            <w:pPr>
              <w:autoSpaceDE w:val="0"/>
              <w:snapToGrid w:val="0"/>
              <w:jc w:val="center"/>
              <w:rPr>
                <w:rFonts w:eastAsia="楷体_GB2312"/>
                <w:b/>
                <w:szCs w:val="24"/>
              </w:rPr>
            </w:pPr>
            <w:r>
              <w:rPr>
                <w:rFonts w:eastAsia="楷体_GB2312"/>
                <w:b/>
                <w:szCs w:val="24"/>
              </w:rPr>
              <w:t>修改日期</w:t>
            </w:r>
          </w:p>
        </w:tc>
      </w:tr>
      <w:tr w14:paraId="48713BE8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234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406DCA49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  <w:r>
              <w:rPr>
                <w:rFonts w:ascii="楷体_GB2312" w:hAnsi="Arial" w:eastAsia="楷体_GB2312" w:cs="Arial"/>
                <w:lang w:eastAsia="zh-CN"/>
              </w:rPr>
              <w:t>1</w:t>
            </w: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6AF08B13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  <w:r>
              <w:rPr>
                <w:rFonts w:ascii="楷体_GB2312" w:hAnsi="Arial" w:eastAsia="楷体_GB2312" w:cs="Arial"/>
                <w:lang w:eastAsia="zh-CN"/>
              </w:rPr>
              <w:t>1</w:t>
            </w:r>
            <w:r>
              <w:rPr>
                <w:rFonts w:hint="eastAsia" w:ascii="楷体_GB2312" w:hAnsi="Arial" w:eastAsia="楷体_GB2312" w:cs="Arial"/>
                <w:lang w:eastAsia="zh-CN"/>
              </w:rPr>
              <w:t>.</w:t>
            </w:r>
            <w:r>
              <w:rPr>
                <w:rFonts w:ascii="楷体_GB2312" w:hAnsi="Arial" w:eastAsia="楷体_GB2312" w:cs="Arial"/>
                <w:lang w:eastAsia="zh-CN"/>
              </w:rPr>
              <w:t>0</w:t>
            </w:r>
            <w:r>
              <w:rPr>
                <w:rFonts w:hint="eastAsia" w:ascii="楷体_GB2312" w:hAnsi="Arial" w:eastAsia="楷体_GB2312" w:cs="Arial"/>
                <w:lang w:eastAsia="zh-CN"/>
              </w:rPr>
              <w:t>.0-0.0.0</w:t>
            </w: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25BCA063">
            <w:pPr>
              <w:jc w:val="left"/>
              <w:rPr>
                <w:rFonts w:ascii="楷体_GB2312" w:hAnsi="Arial" w:eastAsia="楷体_GB2312" w:cs="Arial"/>
                <w:lang w:eastAsia="zh-CN"/>
              </w:rPr>
            </w:pPr>
            <w:r>
              <w:rPr>
                <w:rFonts w:hint="eastAsia" w:ascii="楷体_GB2312" w:hAnsi="Arial" w:eastAsia="楷体_GB2312" w:cs="Arial"/>
                <w:lang w:eastAsia="zh-CN"/>
              </w:rPr>
              <w:t>创建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CAC5AEA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  <w:r>
              <w:rPr>
                <w:rFonts w:hint="eastAsia" w:ascii="楷体_GB2312" w:hAnsi="Arial" w:eastAsia="楷体_GB2312" w:cs="Arial"/>
                <w:lang w:eastAsia="zh-CN"/>
              </w:rPr>
              <w:t>XXXX-XX-XX</w:t>
            </w:r>
          </w:p>
        </w:tc>
      </w:tr>
      <w:tr w14:paraId="658C2F18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341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31F159A2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505E7B5F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6BA3944E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C47B08E">
            <w:pPr>
              <w:autoSpaceDE w:val="0"/>
              <w:snapToGrid w:val="0"/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</w:tr>
      <w:tr w14:paraId="5C6D095C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293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0CC16830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0156723C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69D5CF98">
            <w:pPr>
              <w:autoSpaceDE w:val="0"/>
              <w:snapToGrid w:val="0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804D6CD">
            <w:pPr>
              <w:autoSpaceDE w:val="0"/>
              <w:snapToGrid w:val="0"/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</w:tr>
      <w:tr w14:paraId="1E427533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146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7C974392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466C604F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6AFE2A88">
            <w:pPr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2B01A6D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</w:tr>
      <w:tr w14:paraId="7AF64F7B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146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7D76A5DF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35752D44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5E256471">
            <w:pPr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3B4DD49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</w:tr>
      <w:tr w14:paraId="5EABFF90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146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4E13A191">
            <w:pPr>
              <w:jc w:val="center"/>
              <w:rPr>
                <w:rFonts w:ascii="楷体_GB2312" w:hAnsi="Arial" w:eastAsia="楷体_GB2312" w:cs="Arial"/>
              </w:rPr>
            </w:pP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4A747192">
            <w:pPr>
              <w:jc w:val="center"/>
              <w:rPr>
                <w:rFonts w:ascii="楷体_GB2312" w:hAnsi="Arial" w:eastAsia="楷体_GB2312" w:cs="Arial"/>
              </w:rPr>
            </w:pP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08D9CF3B">
            <w:pPr>
              <w:rPr>
                <w:rFonts w:ascii="楷体_GB2312" w:hAnsi="Arial" w:eastAsia="楷体_GB2312" w:cs="Arial"/>
              </w:rPr>
            </w:pP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D8C1036">
            <w:pPr>
              <w:jc w:val="center"/>
              <w:rPr>
                <w:rFonts w:ascii="楷体_GB2312" w:hAnsi="Arial" w:eastAsia="楷体_GB2312" w:cs="Arial"/>
              </w:rPr>
            </w:pPr>
          </w:p>
        </w:tc>
      </w:tr>
      <w:tr w14:paraId="5DBC7A48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146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239B591B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524CE9FE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75D729E0">
            <w:pPr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3A532010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</w:tr>
      <w:tr w14:paraId="585A83F0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146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2C156851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424E91E8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626D46EA">
            <w:pPr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7B813EF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</w:tr>
      <w:tr w14:paraId="0A2553BD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146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4E637814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70686C17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67725A7D">
            <w:pPr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56A10FD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</w:tr>
      <w:tr w14:paraId="7FA5FC13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146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15801E67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1DEE373A">
            <w:pPr>
              <w:jc w:val="center"/>
              <w:rPr>
                <w:rFonts w:ascii="楷体_GB2312" w:hAnsi="Arial" w:eastAsia="楷体_GB2312" w:cs="Arial"/>
              </w:rPr>
            </w:pP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6821D42E">
            <w:pPr>
              <w:rPr>
                <w:rFonts w:ascii="楷体_GB2312" w:hAnsi="Arial" w:eastAsia="楷体_GB2312" w:cs="Arial"/>
              </w:rPr>
            </w:pP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DF58764">
            <w:pPr>
              <w:jc w:val="center"/>
              <w:rPr>
                <w:rFonts w:ascii="楷体_GB2312" w:hAnsi="Arial" w:eastAsia="楷体_GB2312" w:cs="Arial"/>
              </w:rPr>
            </w:pPr>
          </w:p>
        </w:tc>
      </w:tr>
      <w:tr w14:paraId="7CD60817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146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3E471BB3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620FFB15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6653AA15">
            <w:pPr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8101D70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</w:tr>
      <w:tr w14:paraId="65155B90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146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06FFED0B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1EC7A5AE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3886F1A7">
            <w:pPr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1A04A7E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</w:tr>
      <w:tr w14:paraId="2CEF895D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146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55017216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70959E07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163A9C9D">
            <w:pPr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EA753D0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</w:tr>
      <w:tr w14:paraId="5351EEDD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146" w:hRule="atLeast"/>
        </w:trPr>
        <w:tc>
          <w:tcPr>
            <w:tcW w:w="7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098B8206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78FB59CA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3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2DFFA534">
            <w:pPr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B020D53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</w:tr>
      <w:tr w14:paraId="2B9053AB">
        <w:tblPrEx>
          <w:tblCellMar>
            <w:top w:w="0" w:type="dxa"/>
            <w:left w:w="30" w:type="dxa"/>
            <w:bottom w:w="0" w:type="dxa"/>
            <w:right w:w="30" w:type="dxa"/>
          </w:tblCellMar>
        </w:tblPrEx>
        <w:trPr>
          <w:trHeight w:val="277" w:hRule="atLeast"/>
        </w:trPr>
        <w:tc>
          <w:tcPr>
            <w:tcW w:w="747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4990383E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992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7B9B44E4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3961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vAlign w:val="center"/>
          </w:tcPr>
          <w:p w14:paraId="236D1504">
            <w:pPr>
              <w:rPr>
                <w:rFonts w:ascii="楷体_GB2312" w:hAnsi="Arial" w:eastAsia="楷体_GB2312" w:cs="Arial"/>
                <w:lang w:eastAsia="zh-CN"/>
              </w:rPr>
            </w:pPr>
          </w:p>
        </w:tc>
        <w:tc>
          <w:tcPr>
            <w:tcW w:w="141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50AF35B">
            <w:pPr>
              <w:jc w:val="center"/>
              <w:rPr>
                <w:rFonts w:ascii="楷体_GB2312" w:hAnsi="Arial" w:eastAsia="楷体_GB2312" w:cs="Arial"/>
                <w:lang w:eastAsia="zh-CN"/>
              </w:rPr>
            </w:pPr>
          </w:p>
        </w:tc>
      </w:tr>
    </w:tbl>
    <w:p w14:paraId="2585B36D">
      <w:pPr>
        <w:widowControl/>
        <w:spacing w:before="390" w:after="150" w:line="540" w:lineRule="atLeast"/>
        <w:jc w:val="center"/>
        <w:outlineLvl w:val="0"/>
        <w:rPr>
          <w:rFonts w:hint="eastAsia" w:ascii="宋体" w:hAnsi="宋体" w:eastAsia="宋体" w:cs="宋体"/>
          <w:b/>
          <w:bCs/>
          <w:kern w:val="36"/>
          <w:sz w:val="42"/>
          <w:szCs w:val="42"/>
          <w:lang w:val="en-US" w:eastAsia="zh-CN"/>
        </w:rPr>
      </w:pPr>
    </w:p>
    <w:p w14:paraId="00492943">
      <w:pPr>
        <w:widowControl/>
        <w:spacing w:before="315" w:after="75" w:line="480" w:lineRule="atLeast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</w:p>
    <w:p w14:paraId="75FD394C">
      <w:pPr>
        <w:rPr>
          <w:rFonts w:hint="eastAsia" w:ascii="宋体" w:hAnsi="宋体" w:eastAsia="宋体" w:cs="宋体"/>
          <w:color w:val="000000" w:themeColor="text1"/>
          <w:kern w:val="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kern w:val="0"/>
          <w14:textFill>
            <w14:solidFill>
              <w14:schemeClr w14:val="tx1"/>
            </w14:solidFill>
          </w14:textFill>
        </w:rPr>
        <w:br w:type="page"/>
      </w:r>
    </w:p>
    <w:p w14:paraId="695E44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color w:val="000000" w:themeColor="text1"/>
          <w:kern w:val="0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  <w:r>
        <w:rPr>
          <w:rFonts w:hint="eastAsia" w:ascii="宋体" w:hAnsi="宋体" w:eastAsia="宋体" w:cs="宋体"/>
          <w:color w:val="000000" w:themeColor="text1"/>
          <w:kern w:val="0"/>
          <w14:textFill>
            <w14:solidFill>
              <w14:schemeClr w14:val="tx1"/>
            </w14:solidFill>
          </w14:textFill>
        </w:rPr>
        <w:t>经过对HIS系统的分析，本项目共设计了六个用户角色，</w:t>
      </w:r>
      <w:r>
        <w:rPr>
          <w:rFonts w:hint="eastAsia" w:ascii="宋体" w:hAnsi="宋体" w:eastAsia="宋体" w:cs="宋体"/>
          <w:color w:val="000000" w:themeColor="text1"/>
          <w:kern w:val="0"/>
          <w:lang w:val="en-US" w:eastAsia="zh-CN"/>
          <w14:textFill>
            <w14:solidFill>
              <w14:schemeClr w14:val="tx1"/>
            </w14:solidFill>
          </w14:textFill>
        </w:rPr>
        <w:t>实现功能如下表所示，</w:t>
      </w:r>
    </w:p>
    <w:tbl>
      <w:tblPr>
        <w:tblStyle w:val="2"/>
        <w:tblW w:w="8284" w:type="dxa"/>
        <w:tblInd w:w="0" w:type="dxa"/>
        <w:tblBorders>
          <w:top w:val="single" w:color="D9D9D9" w:sz="6" w:space="0"/>
          <w:left w:val="single" w:color="D9D9D9" w:sz="6" w:space="0"/>
          <w:bottom w:val="single" w:color="D9D9D9" w:sz="6" w:space="0"/>
          <w:right w:val="single" w:color="D9D9D9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39"/>
        <w:gridCol w:w="6945"/>
      </w:tblGrid>
      <w:tr w14:paraId="5BDE2B31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339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shd w:val="clear" w:color="auto" w:fill="F1F1F1" w:themeFill="background1" w:themeFillShade="F2"/>
            <w:vAlign w:val="center"/>
          </w:tcPr>
          <w:p w14:paraId="3262CFB5"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角色</w:t>
            </w:r>
          </w:p>
        </w:tc>
        <w:tc>
          <w:tcPr>
            <w:tcW w:w="694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shd w:val="clear" w:color="auto" w:fill="F1F1F1" w:themeFill="background1" w:themeFillShade="F2"/>
            <w:vAlign w:val="center"/>
          </w:tcPr>
          <w:p w14:paraId="13C73237">
            <w:pPr>
              <w:widowControl/>
              <w:jc w:val="center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备注</w:t>
            </w:r>
          </w:p>
        </w:tc>
      </w:tr>
      <w:tr w14:paraId="78FFF78A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339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752BCE04">
            <w:pPr>
              <w:widowControl/>
              <w:jc w:val="left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挂号窗口</w:t>
            </w:r>
          </w:p>
        </w:tc>
        <w:tc>
          <w:tcPr>
            <w:tcW w:w="694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2C8B59C7">
            <w:pPr>
              <w:widowControl/>
              <w:jc w:val="left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使用者是窗口挂号人员，主要包含的功能有现场挂号与退号、收费与退费、患者收费信息的查询与管理。</w:t>
            </w:r>
          </w:p>
        </w:tc>
      </w:tr>
      <w:tr w14:paraId="14F3770E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339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0EC85795">
            <w:pPr>
              <w:widowControl/>
              <w:jc w:val="left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门诊医生</w:t>
            </w:r>
          </w:p>
        </w:tc>
        <w:tc>
          <w:tcPr>
            <w:tcW w:w="694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36D498B7">
            <w:pPr>
              <w:widowControl/>
              <w:jc w:val="left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使用者为门诊医生，涉及患者诊疗、开立检查检验项目，开立处方药治疗、开立处置治疗等</w:t>
            </w:r>
          </w:p>
        </w:tc>
      </w:tr>
      <w:tr w14:paraId="2F4A5F89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339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5B2B0E01">
            <w:pPr>
              <w:widowControl/>
              <w:jc w:val="left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检查医生</w:t>
            </w:r>
          </w:p>
        </w:tc>
        <w:tc>
          <w:tcPr>
            <w:tcW w:w="694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1DC525DD">
            <w:pPr>
              <w:widowControl/>
              <w:jc w:val="left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使用者为检查科医师，涉及检查申请记录查看、检查详情查看、检查结果录入等（医生给患者根据病历要求患者进行的检查项：一般无比对标准，如B超）。</w:t>
            </w:r>
          </w:p>
        </w:tc>
      </w:tr>
      <w:tr w14:paraId="63FA2F45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339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533FD2DA">
            <w:pPr>
              <w:widowControl/>
              <w:jc w:val="left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检验医生</w:t>
            </w:r>
          </w:p>
        </w:tc>
        <w:tc>
          <w:tcPr>
            <w:tcW w:w="694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5288C4FE">
            <w:pPr>
              <w:widowControl/>
              <w:jc w:val="left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使用者为检验科医师，涉及检验申请记录查看、检验详情查看、检验结果录入等。（医生给患者根据病历要求患者进行的检验项：一般有比对标准，如血常规）</w:t>
            </w:r>
          </w:p>
        </w:tc>
      </w:tr>
      <w:tr w14:paraId="52C13899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339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0FF45298">
            <w:pPr>
              <w:widowControl/>
              <w:jc w:val="left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处置医生</w:t>
            </w:r>
          </w:p>
        </w:tc>
        <w:tc>
          <w:tcPr>
            <w:tcW w:w="694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2B11539B">
            <w:pPr>
              <w:widowControl/>
              <w:jc w:val="left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使用者为处置科室医师，涉及处置申请记录查看、处置详情查看、处置结果录入等。（医生给患者根据病历要求患者进行的处置项：一般有治疗作用，如洗胃）</w:t>
            </w:r>
          </w:p>
        </w:tc>
      </w:tr>
      <w:tr w14:paraId="02586C74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339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59A536DF">
            <w:pPr>
              <w:widowControl/>
              <w:jc w:val="left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药房管理</w:t>
            </w:r>
          </w:p>
        </w:tc>
        <w:tc>
          <w:tcPr>
            <w:tcW w:w="694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3236FB6E">
            <w:pPr>
              <w:widowControl/>
              <w:jc w:val="left"/>
              <w:rPr>
                <w:rFonts w:ascii="宋体" w:hAnsi="宋体" w:eastAsia="宋体" w:cs="宋体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</w:rPr>
              <w:t>使用者为药师，涉及药库信息管理、发药管理、退药管理、发退药信息查看。</w:t>
            </w:r>
          </w:p>
        </w:tc>
      </w:tr>
    </w:tbl>
    <w:p w14:paraId="3C4E46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color w:val="000000" w:themeColor="text1"/>
          <w:kern w:val="0"/>
          <w:lang w:val="en-US" w:eastAsia="zh-CN"/>
          <w14:textFill>
            <w14:solidFill>
              <w14:schemeClr w14:val="tx1"/>
            </w14:solidFill>
          </w14:textFill>
        </w:rPr>
      </w:pPr>
    </w:p>
    <w:p w14:paraId="3FAA13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color w:val="000000" w:themeColor="text1"/>
          <w:kern w:val="0"/>
          <w:lang w:val="en-US" w:eastAsia="zh-CN"/>
          <w14:textFill>
            <w14:solidFill>
              <w14:schemeClr w14:val="tx1"/>
            </w14:solidFill>
          </w14:textFill>
        </w:rPr>
        <w:t>根据功能</w:t>
      </w:r>
      <w:r>
        <w:rPr>
          <w:rFonts w:hint="eastAsia" w:ascii="宋体" w:hAnsi="宋体" w:eastAsia="宋体" w:cs="宋体"/>
          <w:color w:val="000000" w:themeColor="text1"/>
          <w:kern w:val="0"/>
          <w14:textFill>
            <w14:solidFill>
              <w14:schemeClr w14:val="tx1"/>
            </w14:solidFill>
          </w14:textFill>
        </w:rPr>
        <w:t>为其对应规划了完整的功能菜单</w:t>
      </w:r>
      <w:r>
        <w:rPr>
          <w:rFonts w:ascii="宋体" w:hAnsi="宋体" w:eastAsia="宋体" w:cs="宋体"/>
          <w:color w:val="000000" w:themeColor="text1"/>
          <w:kern w:val="0"/>
          <w14:textFill>
            <w14:solidFill>
              <w14:schemeClr w14:val="tx1"/>
            </w14:solidFill>
          </w14:textFill>
        </w:rPr>
        <w:t>：</w:t>
      </w:r>
    </w:p>
    <w:p w14:paraId="7D54BA50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"https://cdn.nlark.com/yuque/0/2022/png/955151/1652607833390-aaa45094-05cc-42be-b381-30d2a6a558c1.png"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1760220" cy="3073400"/>
            <wp:effectExtent l="0" t="0" r="1905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8417" cy="308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367C83CD">
      <w:pPr>
        <w:widowControl/>
        <w:jc w:val="left"/>
        <w:rPr>
          <w:rFonts w:ascii="宋体" w:hAnsi="宋体" w:eastAsia="宋体" w:cs="宋体"/>
          <w:kern w:val="0"/>
        </w:rPr>
      </w:pPr>
    </w:p>
    <w:p w14:paraId="5F860CAF">
      <w:pPr>
        <w:widowControl/>
        <w:ind w:firstLine="480" w:firstLineChars="200"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根据权限，有6个不同的角色，32个业务功能，不同角色对应不同的业务功能菜单如下：</w:t>
      </w:r>
    </w:p>
    <w:tbl>
      <w:tblPr>
        <w:tblStyle w:val="2"/>
        <w:tblW w:w="5000" w:type="pct"/>
        <w:jc w:val="center"/>
        <w:tblBorders>
          <w:top w:val="single" w:color="D9D9D9" w:sz="6" w:space="0"/>
          <w:left w:val="single" w:color="D9D9D9" w:sz="6" w:space="0"/>
          <w:bottom w:val="single" w:color="D9D9D9" w:sz="6" w:space="0"/>
          <w:right w:val="single" w:color="D9D9D9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98"/>
        <w:gridCol w:w="7238"/>
      </w:tblGrid>
      <w:tr w14:paraId="521DF411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  <w:jc w:val="center"/>
        </w:trPr>
        <w:tc>
          <w:tcPr>
            <w:tcW w:w="1310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shd w:val="clear" w:color="auto" w:fill="D4EEFC"/>
            <w:vAlign w:val="center"/>
          </w:tcPr>
          <w:p w14:paraId="34A18A2A">
            <w:pPr>
              <w:widowControl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</w:rPr>
              <w:t>角色名称</w:t>
            </w:r>
          </w:p>
        </w:tc>
        <w:tc>
          <w:tcPr>
            <w:tcW w:w="869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shd w:val="clear" w:color="auto" w:fill="D4EEFC"/>
            <w:vAlign w:val="center"/>
          </w:tcPr>
          <w:p w14:paraId="343E3903">
            <w:pPr>
              <w:widowControl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</w:rPr>
              <w:t>功能菜单</w:t>
            </w:r>
          </w:p>
        </w:tc>
      </w:tr>
      <w:tr w14:paraId="3F493FBD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  <w:jc w:val="center"/>
        </w:trPr>
        <w:tc>
          <w:tcPr>
            <w:tcW w:w="1310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6229110E">
            <w:pPr>
              <w:widowControl/>
              <w:tabs>
                <w:tab w:val="left" w:pos="720"/>
              </w:tabs>
              <w:spacing w:before="100" w:beforeAutospacing="1" w:after="100" w:afterAutospacing="1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挂号收费员</w:t>
            </w:r>
          </w:p>
        </w:tc>
        <w:tc>
          <w:tcPr>
            <w:tcW w:w="869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5C8040F8">
            <w:pPr>
              <w:widowControl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</w:rPr>
              <w:instrText xml:space="preserve"> INCLUDEPICTURE "https://cdn.nlark.com/yuque/0/2022/png/955151/1652945785845-98fda00d-c330-44e0-b04b-d05fad5082da.png" \* MERGEFORMATINET </w:instrText>
            </w:r>
            <w:r>
              <w:rPr>
                <w:rFonts w:ascii="宋体" w:hAnsi="宋体" w:eastAsia="宋体" w:cs="宋体"/>
                <w:kern w:val="0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</w:rPr>
              <w:drawing>
                <wp:inline distT="0" distB="0" distL="0" distR="0">
                  <wp:extent cx="2019300" cy="2707005"/>
                  <wp:effectExtent l="0" t="0" r="0" b="762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929" cy="2713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</w:rPr>
              <w:fldChar w:fldCharType="end"/>
            </w:r>
          </w:p>
        </w:tc>
      </w:tr>
      <w:tr w14:paraId="48F9BBFD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  <w:jc w:val="center"/>
        </w:trPr>
        <w:tc>
          <w:tcPr>
            <w:tcW w:w="1310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781F00BC">
            <w:pPr>
              <w:widowControl/>
              <w:tabs>
                <w:tab w:val="left" w:pos="720"/>
              </w:tabs>
              <w:spacing w:before="100" w:beforeAutospacing="1" w:after="100" w:afterAutospacing="1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门诊医生</w:t>
            </w:r>
          </w:p>
        </w:tc>
        <w:tc>
          <w:tcPr>
            <w:tcW w:w="869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586C2CA6">
            <w:pPr>
              <w:widowControl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</w:rPr>
              <w:instrText xml:space="preserve"> INCLUDEPICTURE "https://cdn.nlark.com/yuque/0/2022/png/955151/1652945806315-916ce11f-4da4-4dd9-8e68-bfab6ae28d2f.png" \* MERGEFORMATINET </w:instrText>
            </w:r>
            <w:r>
              <w:rPr>
                <w:rFonts w:ascii="宋体" w:hAnsi="宋体" w:eastAsia="宋体" w:cs="宋体"/>
                <w:kern w:val="0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</w:rPr>
              <w:drawing>
                <wp:inline distT="0" distB="0" distL="0" distR="0">
                  <wp:extent cx="1859915" cy="4826000"/>
                  <wp:effectExtent l="0" t="0" r="6985" b="317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778" cy="4842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</w:rPr>
              <w:fldChar w:fldCharType="end"/>
            </w:r>
          </w:p>
        </w:tc>
      </w:tr>
      <w:tr w14:paraId="371A2224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  <w:jc w:val="center"/>
        </w:trPr>
        <w:tc>
          <w:tcPr>
            <w:tcW w:w="1310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2FADB107">
            <w:pPr>
              <w:widowControl/>
              <w:tabs>
                <w:tab w:val="left" w:pos="720"/>
              </w:tabs>
              <w:spacing w:before="100" w:beforeAutospacing="1" w:after="100" w:afterAutospacing="1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检查医生</w:t>
            </w:r>
          </w:p>
        </w:tc>
        <w:tc>
          <w:tcPr>
            <w:tcW w:w="869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356D2466">
            <w:pPr>
              <w:widowControl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</w:rPr>
              <w:instrText xml:space="preserve"> INCLUDEPICTURE "https://cdn.nlark.com/yuque/0/2022/png/955151/1652945819503-9c902d43-037c-43d5-905d-9a4121089d71.png" \* MERGEFORMATINET </w:instrText>
            </w:r>
            <w:r>
              <w:rPr>
                <w:rFonts w:ascii="宋体" w:hAnsi="宋体" w:eastAsia="宋体" w:cs="宋体"/>
                <w:kern w:val="0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</w:rPr>
              <w:drawing>
                <wp:inline distT="0" distB="0" distL="0" distR="0">
                  <wp:extent cx="1816100" cy="1997710"/>
                  <wp:effectExtent l="0" t="0" r="3175" b="254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971" cy="1998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</w:rPr>
              <w:fldChar w:fldCharType="end"/>
            </w:r>
          </w:p>
        </w:tc>
      </w:tr>
      <w:tr w14:paraId="4DBF6DE8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  <w:jc w:val="center"/>
        </w:trPr>
        <w:tc>
          <w:tcPr>
            <w:tcW w:w="1310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009C84B1">
            <w:pPr>
              <w:widowControl/>
              <w:tabs>
                <w:tab w:val="left" w:pos="720"/>
              </w:tabs>
              <w:spacing w:before="100" w:beforeAutospacing="1" w:after="100" w:afterAutospacing="1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检验医生</w:t>
            </w:r>
          </w:p>
        </w:tc>
        <w:tc>
          <w:tcPr>
            <w:tcW w:w="869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0F9B23F7">
            <w:pPr>
              <w:widowControl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</w:rPr>
              <w:instrText xml:space="preserve"> INCLUDEPICTURE "https://cdn.nlark.com/yuque/0/2022/png/955151/1652945992025-6de69471-7471-4a56-bd49-3e65ad4c3397.png" \* MERGEFORMATINET </w:instrText>
            </w:r>
            <w:r>
              <w:rPr>
                <w:rFonts w:ascii="宋体" w:hAnsi="宋体" w:eastAsia="宋体" w:cs="宋体"/>
                <w:kern w:val="0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</w:rPr>
              <w:drawing>
                <wp:inline distT="0" distB="0" distL="0" distR="0">
                  <wp:extent cx="1771650" cy="1960245"/>
                  <wp:effectExtent l="0" t="0" r="0" b="190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431" cy="1970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</w:rPr>
              <w:fldChar w:fldCharType="end"/>
            </w:r>
          </w:p>
        </w:tc>
      </w:tr>
      <w:tr w14:paraId="4CB8981B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  <w:jc w:val="center"/>
        </w:trPr>
        <w:tc>
          <w:tcPr>
            <w:tcW w:w="1310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43E844F2">
            <w:pPr>
              <w:widowControl/>
              <w:tabs>
                <w:tab w:val="left" w:pos="720"/>
              </w:tabs>
              <w:spacing w:before="100" w:beforeAutospacing="1" w:after="100" w:afterAutospacing="1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药房管理员</w:t>
            </w:r>
          </w:p>
        </w:tc>
        <w:tc>
          <w:tcPr>
            <w:tcW w:w="869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40A9CA09">
            <w:pPr>
              <w:widowControl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</w:rPr>
              <w:instrText xml:space="preserve"> INCLUDEPICTURE "https://cdn.nlark.com/yuque/0/2022/png/955151/1652946003463-862bb068-e7f1-444e-a96f-c29eef98d794.png" \* MERGEFORMATINET </w:instrText>
            </w:r>
            <w:r>
              <w:rPr>
                <w:rFonts w:ascii="宋体" w:hAnsi="宋体" w:eastAsia="宋体" w:cs="宋体"/>
                <w:kern w:val="0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</w:rPr>
              <w:drawing>
                <wp:inline distT="0" distB="0" distL="0" distR="0">
                  <wp:extent cx="1885950" cy="2033905"/>
                  <wp:effectExtent l="0" t="0" r="0" b="444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824" cy="2046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</w:rPr>
              <w:fldChar w:fldCharType="end"/>
            </w:r>
          </w:p>
        </w:tc>
      </w:tr>
      <w:tr w14:paraId="44468D42">
        <w:tblPrEx>
          <w:tblBorders>
            <w:top w:val="single" w:color="D9D9D9" w:sz="6" w:space="0"/>
            <w:left w:val="single" w:color="D9D9D9" w:sz="6" w:space="0"/>
            <w:bottom w:val="single" w:color="D9D9D9" w:sz="6" w:space="0"/>
            <w:right w:val="single" w:color="D9D9D9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  <w:jc w:val="center"/>
        </w:trPr>
        <w:tc>
          <w:tcPr>
            <w:tcW w:w="1310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60B01FAB">
            <w:pPr>
              <w:widowControl/>
              <w:tabs>
                <w:tab w:val="left" w:pos="720"/>
              </w:tabs>
              <w:spacing w:before="100" w:beforeAutospacing="1" w:after="100" w:afterAutospacing="1"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t>处置医生</w:t>
            </w:r>
          </w:p>
        </w:tc>
        <w:tc>
          <w:tcPr>
            <w:tcW w:w="8695" w:type="dxa"/>
            <w:tcBorders>
              <w:top w:val="single" w:color="D9D9D9" w:sz="6" w:space="0"/>
              <w:left w:val="single" w:color="D9D9D9" w:sz="6" w:space="0"/>
              <w:bottom w:val="single" w:color="D9D9D9" w:sz="6" w:space="0"/>
              <w:right w:val="single" w:color="D9D9D9" w:sz="6" w:space="0"/>
            </w:tcBorders>
            <w:vAlign w:val="center"/>
          </w:tcPr>
          <w:p w14:paraId="5FBBD77C">
            <w:pPr>
              <w:widowControl/>
              <w:jc w:val="center"/>
              <w:rPr>
                <w:rFonts w:ascii="宋体" w:hAnsi="宋体" w:eastAsia="宋体" w:cs="宋体"/>
                <w:kern w:val="0"/>
              </w:rPr>
            </w:pPr>
            <w:r>
              <w:rPr>
                <w:rFonts w:ascii="宋体" w:hAnsi="宋体" w:eastAsia="宋体" w:cs="宋体"/>
                <w:kern w:val="0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</w:rPr>
              <w:instrText xml:space="preserve"> INCLUDEPICTURE "https://cdn.nlark.com/yuque/0/2022/png/955151/1652946014465-f27a6b8e-2365-4f96-b2c7-7049f7b99b02.png" \* MERGEFORMATINET </w:instrText>
            </w:r>
            <w:r>
              <w:rPr>
                <w:rFonts w:ascii="宋体" w:hAnsi="宋体" w:eastAsia="宋体" w:cs="宋体"/>
                <w:kern w:val="0"/>
              </w:rPr>
              <w:fldChar w:fldCharType="separate"/>
            </w:r>
            <w:r>
              <w:rPr>
                <w:rFonts w:ascii="宋体" w:hAnsi="宋体" w:eastAsia="宋体" w:cs="宋体"/>
                <w:kern w:val="0"/>
              </w:rPr>
              <w:drawing>
                <wp:inline distT="0" distB="0" distL="0" distR="0">
                  <wp:extent cx="1866900" cy="1994535"/>
                  <wp:effectExtent l="0" t="0" r="0" b="571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638" cy="200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</w:rPr>
              <w:fldChar w:fldCharType="end"/>
            </w:r>
          </w:p>
        </w:tc>
      </w:tr>
    </w:tbl>
    <w:p w14:paraId="36C1042F">
      <w:pPr>
        <w:widowControl/>
        <w:spacing w:before="315" w:after="75" w:line="480" w:lineRule="atLeast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1 原型设计：主线流程</w:t>
      </w:r>
    </w:p>
    <w:p w14:paraId="25CA5E29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本部分使用原型工具进行页面绘制，配合文档说明，确认每个界面功能。</w:t>
      </w:r>
    </w:p>
    <w:p w14:paraId="5F8B11A0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"https://cdn.nlark.com/yuque/0/2022/jpeg/955151/1652930790160-cceeaff1-b619-4ba6-9991-50fca66dbb83.jpeg"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3978910"/>
            <wp:effectExtent l="0" t="0" r="635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753012F2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1.1 挂号收费：窗口挂号</w:t>
      </w:r>
    </w:p>
    <w:p w14:paraId="5053B65D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"https://cdn.nlark.com/yuque/0/2022/jpeg/955151/1652922854268-548c1ed7-b9e0-4181-a260-762bc9befa16.jpeg"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3978910"/>
            <wp:effectExtent l="0" t="0" r="635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3687EFB8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"https://cdn.nlark.com/yuque/0/2022/png/955151/1652861035273-64000800-e5c1-4aa8-a1fa-04c1e2428a2b.png"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090420"/>
            <wp:effectExtent l="0" t="0" r="635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180428D5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1. 挂号收费员点击“窗口挂号”菜单；</w:t>
      </w:r>
    </w:p>
    <w:p w14:paraId="729F35B0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2.. 系统进入现场挂号页面，自动生成“病历号”；</w:t>
      </w:r>
    </w:p>
    <w:p w14:paraId="60DB979F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3. 系统默认显示“看诊日期”为当前日期，午别为当前午别，该信息不可修改；</w:t>
      </w:r>
    </w:p>
    <w:p w14:paraId="6354A42C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4. 挂号收费员询问患者挂号级别、挂号科室；</w:t>
      </w:r>
    </w:p>
    <w:p w14:paraId="412B1E07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5. 挂号收费员根据患者要求，选择对应的“挂号级别”、“挂号科室”；</w:t>
      </w:r>
    </w:p>
    <w:p w14:paraId="2E2BB78E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6. 系统根据挂号级别显示挂号费；</w:t>
      </w:r>
    </w:p>
    <w:p w14:paraId="5E2D8139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7. 系统根据挂号级别、挂号科室，读取相应科室、相应挂号级别、当前日期、当前午别的出诊医生；</w:t>
      </w:r>
    </w:p>
    <w:p w14:paraId="12C36238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8. 挂号收费员询问患者是否选择挂号医生；</w:t>
      </w:r>
    </w:p>
    <w:p w14:paraId="6C9BB125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9. 挂号收费员根据患者要求，选择对应的“医生”；</w:t>
      </w:r>
    </w:p>
    <w:p w14:paraId="2BE7B820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10. 挂号收费员录入患者基本信息，包括：患者姓名、性别、出生日期、年龄、结算类别、身份证号、家庭住址、是否要病历本；</w:t>
      </w:r>
    </w:p>
    <w:p w14:paraId="738F7BD0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11. 挂号收费员在录入信息完毕后，单击“挂号”按钮，完成患者挂号；</w:t>
      </w:r>
    </w:p>
    <w:p w14:paraId="628DD2BF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1.2 门诊医生：患者查看</w:t>
      </w:r>
    </w:p>
    <w:p w14:paraId="75DAD0B6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"https://cdn.nlark.com/yuque/0/2022/jpeg/955151/1652922862209-02c7b092-7ddf-4421-bcfa-88b79a22a7d9.jpeg"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3978910"/>
            <wp:effectExtent l="0" t="0" r="635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6685C276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"https://cdn.nlark.com/yuque/0/2022/png/955151/1652861322100-1ef87a9b-cc36-4d4d-86e9-c6c1473672ed.png"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1701800"/>
            <wp:effectExtent l="0" t="0" r="635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34821BE2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1. 门诊医生登录后，点击导航栏的“患者查看”；</w:t>
      </w:r>
    </w:p>
    <w:p w14:paraId="7E747FF8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2. 系统进入患者查看页面，顶部显示已经看诊人数和排队人数；</w:t>
      </w:r>
    </w:p>
    <w:p w14:paraId="565E4940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3.显示登录医生对应挂号的患者列表，根据挂号时间排序分页显示；</w:t>
      </w:r>
    </w:p>
    <w:p w14:paraId="7A2CF556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3. 门诊医生可以输入患者的病历号或姓名，进行“查询”；</w:t>
      </w:r>
    </w:p>
    <w:p w14:paraId="29CCE352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4. 系统显示符合条件的患者列表；</w:t>
      </w:r>
    </w:p>
    <w:p w14:paraId="34399D07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5. 门诊医生点击患者姓名后面的“创建病例“，开始看诊；</w:t>
      </w:r>
    </w:p>
    <w:p w14:paraId="2149E006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1.3 门诊医生：病例首页</w:t>
      </w:r>
    </w:p>
    <w:p w14:paraId="2A240EC9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"https://cdn.nlark.com/yuque/0/2022/jpeg/955151/1652922874950-7515a275-d8d1-4a0a-af69-8f1bf8c00a0a.jpeg"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3978910"/>
            <wp:effectExtent l="0" t="0" r="635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44580F3C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"https://cdn.nlark.com/yuque/0/2022/png/955151/1652861742190-3e4a67f6-af59-4945-bd5f-80c04164d165.png"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982595"/>
            <wp:effectExtent l="0" t="0" r="635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014D3EF4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1. 门诊医生点击导航栏的“病例首页”，对”患者查看“页面选择的患者病例进行填写。页面顶部会显示医生选择的患者基本信息。</w:t>
      </w:r>
    </w:p>
    <w:p w14:paraId="0B74B511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2.门诊医生根据询问患者，在病历首页中填写：主诉、现病史、现病治疗情况、既往史、过敏史、体格检查；</w:t>
      </w:r>
    </w:p>
    <w:p w14:paraId="1752F6EA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3. 门诊医生进行初步诊断，选择患者疾病；</w:t>
      </w:r>
    </w:p>
    <w:p w14:paraId="64D734A7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4.门诊医生填写检查\检验建议；</w:t>
      </w:r>
    </w:p>
    <w:p w14:paraId="2F0BD15C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5.门诊医生填写完成后，点击保存完成患者病例首页的填写；</w:t>
      </w:r>
    </w:p>
    <w:p w14:paraId="736B7AC1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1.4 门诊医生：检查申请</w:t>
      </w:r>
    </w:p>
    <w:p w14:paraId="7D513120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"https://cdn.nlark.com/yuque/0/2022/jpeg/955151/1652922884337-1b3e40e9-68df-4816-8f14-5d4b47f6b783.jpeg"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3978910"/>
            <wp:effectExtent l="0" t="0" r="635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2ED691EF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"https://cdn.nlark.com/yuque/0/2022/png/955151/1652862319132-e1f09939-7e10-433f-befe-382e0b92d1fa.png"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336165"/>
            <wp:effectExtent l="0" t="0" r="635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78A95AA8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1. 门诊医生点击“检查申请”</w:t>
      </w:r>
    </w:p>
    <w:p w14:paraId="1407E142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2. 系统进入检查申请页面，在病历首页页面部分，显示该患者基本信息；</w:t>
      </w:r>
    </w:p>
    <w:p w14:paraId="0D596F21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3. 门诊医生点击新增项目；</w:t>
      </w:r>
    </w:p>
    <w:p w14:paraId="3B0909C6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4. 系统弹出新增检查项目页面列表，页面包括检查编码、检查名称、检查规格、单价，门诊医生可以按检查编码和检查名称执行查询；</w:t>
      </w:r>
    </w:p>
    <w:p w14:paraId="64C8C107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5. 门诊医生在查询结果中，选中要新增的检查项目前面的复选框，所有项目选中之后，点击“添加”按钮；</w:t>
      </w:r>
    </w:p>
    <w:p w14:paraId="04A20A0E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6. 系统在检查申请页面，填入医生已经选择的项目；</w:t>
      </w:r>
    </w:p>
    <w:p w14:paraId="57686CC3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7. 门诊医生输入检查目的要求、检查部位、备注等；</w:t>
      </w:r>
    </w:p>
    <w:p w14:paraId="5C215F16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8. 门诊医生点击“申请提交”；</w:t>
      </w:r>
    </w:p>
    <w:p w14:paraId="0749BE90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1.5 挂号收费：收费</w:t>
      </w:r>
    </w:p>
    <w:p w14:paraId="33205F8C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"https://cdn.nlark.com/yuque/0/2022/jpeg/955151/1652922894120-a4ca7fa8-ea1e-4655-bd57-284145d46e4d.jpeg"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3978910"/>
            <wp:effectExtent l="0" t="0" r="635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7BFE5167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"https://cdn.nlark.com/yuque/0/2022/png/955151/1652862438468-63432bbe-6c58-4f2a-b6f6-0b941f996727.png"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1648460"/>
            <wp:effectExtent l="0" t="0" r="635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6685CA8F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1. 挂号收费员点击“收费”；</w:t>
      </w:r>
    </w:p>
    <w:p w14:paraId="35B8D0C0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2. 系统进入患者收费页面；</w:t>
      </w:r>
    </w:p>
    <w:p w14:paraId="0E2D38CF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 xml:space="preserve">3. 挂号收费员输入患者的“病历号”后点击”搜索“按钮； </w:t>
      </w:r>
    </w:p>
    <w:p w14:paraId="77E9159E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4. 系统查询出该患者的基本信息；</w:t>
      </w:r>
    </w:p>
    <w:p w14:paraId="43EF45FC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5. 挂号收费员确认患者姓名是否正确；</w:t>
      </w:r>
    </w:p>
    <w:p w14:paraId="4D5CAA7D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6. 系统查询出该患者本次看诊的待缴费项目，并按项目开立时间时间降序排序；</w:t>
      </w:r>
    </w:p>
    <w:p w14:paraId="7705645C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7. 挂号收费员确认患者本次缴纳哪些项目，选中相应项目前面的复选框；</w:t>
      </w:r>
    </w:p>
    <w:p w14:paraId="24E80D4B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8. 系统自动计算出本次的缴费金额；</w:t>
      </w:r>
    </w:p>
    <w:p w14:paraId="7552B110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9. 挂号收费员点击“收费结算”按钮，完成收费；</w:t>
      </w:r>
    </w:p>
    <w:p w14:paraId="005FA336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1.6 检查管理：检查申请</w:t>
      </w:r>
    </w:p>
    <w:p w14:paraId="7004ED69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"https://cdn.nlark.com/yuque/0/2022/jpeg/955151/1652922901644-051bee11-4a8d-4e36-a574-2fd4e2372530.jpeg"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3978910"/>
            <wp:effectExtent l="0" t="0" r="635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0814C817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"https://cdn.nlark.com/yuque/0/2022/png/955151/1652862723774-12497676-11ec-4c75-84e4-07e74d1e6adf.png"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068195"/>
            <wp:effectExtent l="0" t="0" r="635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204CCE48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1. 检查医生登录后，点击导航栏的“检查申请”；</w:t>
      </w:r>
    </w:p>
    <w:p w14:paraId="3D927546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2. 系统进入检查申请查看页面，顶部显示已经检查人数和排队人数；</w:t>
      </w:r>
    </w:p>
    <w:p w14:paraId="36A9E575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3.显示等待检查的患者列表；</w:t>
      </w:r>
    </w:p>
    <w:p w14:paraId="2ED489FA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3. 门诊医生可以输入患者的病历号或姓名，进行“查询”；</w:t>
      </w:r>
    </w:p>
    <w:p w14:paraId="2ABE18CF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4. 系统显示符合条件的患者列表；</w:t>
      </w:r>
    </w:p>
    <w:p w14:paraId="59CA80A2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5. 门诊医生点击患者姓名后面的“进行检查“，检查登记完成；</w:t>
      </w:r>
    </w:p>
    <w:p w14:paraId="48B5B2F9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1.7 检查管理：患者录入</w:t>
      </w:r>
    </w:p>
    <w:p w14:paraId="7D9FD86A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"https://cdn.nlark.com/yuque/0/2022/jpeg/955151/1652922909497-1f8d661d-048f-4fb8-94f0-80e25403a402.jpeg"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3978910"/>
            <wp:effectExtent l="0" t="0" r="635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783E522A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"https://cdn.nlark.com/yuque/0/2022/png/955151/1652862938233-22c38c74-2117-42b3-b434-7ca695976792.png"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046605"/>
            <wp:effectExtent l="0" t="0" r="635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09E3189C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1. 检查医生点击导航栏的“患者录入”，对”检查申请“页面选择的患者的检查项目进行科室和医生的分配。页面顶部会显示医生选择的患者基本信息。</w:t>
      </w:r>
    </w:p>
    <w:p w14:paraId="6833DC2E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2.系统会显示选择的患者所有等待检查的项目；</w:t>
      </w:r>
    </w:p>
    <w:p w14:paraId="2892C3CD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3. 检查医生点击对应项目后，表格下方会显示 已选择的检查项目名称；</w:t>
      </w:r>
    </w:p>
    <w:p w14:paraId="216E6950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4.检查医生选择录入自己的科室和姓名，确认检查医生信息；</w:t>
      </w:r>
    </w:p>
    <w:p w14:paraId="23CAF3BD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5.检查医生点击“开始检查”，患者检查录入完成；</w:t>
      </w:r>
    </w:p>
    <w:p w14:paraId="3BF54CB0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1.8 检查管理：检查结果录入</w:t>
      </w:r>
    </w:p>
    <w:p w14:paraId="4C8BCA2A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"https://cdn.nlark.com/yuque/0/2022/jpeg/955151/1652922922424-ca1cbe50-95e9-4754-8279-f2a5224e793b.jpeg"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3978910"/>
            <wp:effectExtent l="0" t="0" r="635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29D77903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"https://cdn.nlark.com/yuque/0/2022/png/955151/1652863234574-9a529b90-2699-4713-9ed3-306d4ad0a05a.png"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145030"/>
            <wp:effectExtent l="0" t="0" r="635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4A4A3411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1. 检查医生点击导航栏的“检查结果录入”。页面显示患者信息；检查医生可以根据患者病历号和患者姓名，进行搜索患者。</w:t>
      </w:r>
    </w:p>
    <w:p w14:paraId="1BBC5110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2.检查医生点击患者信息后端的“已完成检查”按钮，会显示该患者所有已经完成的检查项目；</w:t>
      </w:r>
    </w:p>
    <w:p w14:paraId="227E80F8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3. 检查医生点击对应项目后，表格下方会显示 已选择的检查项目名称；</w:t>
      </w:r>
    </w:p>
    <w:p w14:paraId="6A267FBC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4.检查医生选择录入自己的科室和姓名，确认结果录入医生信息；</w:t>
      </w:r>
    </w:p>
    <w:p w14:paraId="61FF40BD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5.检查医生录入检查结果；</w:t>
      </w:r>
    </w:p>
    <w:p w14:paraId="18636CA7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6.检查医生点击“结果提交”完成检查结果录入</w:t>
      </w:r>
    </w:p>
    <w:p w14:paraId="394BFBEA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1.9 门诊医生：看诊记录</w:t>
      </w:r>
    </w:p>
    <w:p w14:paraId="330C1128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"https://cdn.nlark.com/yuque/0/2022/png/955151/1652863597903-785493ab-fa4b-4e05-9e25-1c1dd9e9ebab.png"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254250"/>
            <wp:effectExtent l="0" t="0" r="635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70FAFA81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1. 门诊医生点击导航栏的“看诊记录”；</w:t>
      </w:r>
    </w:p>
    <w:p w14:paraId="676911EF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2. 系统进入患者继续看诊选择页面；</w:t>
      </w:r>
    </w:p>
    <w:p w14:paraId="44E1ED64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3.显示登录医生对应已经看诊的患者列表；</w:t>
      </w:r>
    </w:p>
    <w:p w14:paraId="2A5D00ED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3. 门诊医生可以输入患者的病历号或姓名，进行“查询”；</w:t>
      </w:r>
    </w:p>
    <w:p w14:paraId="4CF957A4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4. 系统显示符合条件的患者列表；</w:t>
      </w:r>
    </w:p>
    <w:p w14:paraId="14A41CBA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5. 门诊医生点击患者姓名后面的“更新病例“，开始对已出检查结果的患者继续看诊；</w:t>
      </w:r>
    </w:p>
    <w:p w14:paraId="76EEBF7E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1.10 门诊医生：查看检查结果</w:t>
      </w:r>
    </w:p>
    <w:p w14:paraId="40354041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"https://cdn.nlark.com/yuque/0/2022/jpeg/955151/1652922950045-77482d16-1187-40a0-af4a-68ea077ee670.jpeg"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3978910"/>
            <wp:effectExtent l="0" t="0" r="635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55EEE4A3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fldChar w:fldCharType="begin"/>
      </w:r>
      <w:r>
        <w:rPr>
          <w:rFonts w:ascii="宋体" w:hAnsi="宋体" w:eastAsia="宋体" w:cs="宋体"/>
          <w:b/>
          <w:bCs/>
          <w:kern w:val="0"/>
          <w:sz w:val="30"/>
          <w:szCs w:val="30"/>
        </w:rPr>
        <w:instrText xml:space="preserve"> INCLUDEPICTURE "https://cdn.nlark.com/yuque/0/2022/png/955151/1652863779862-2fc45786-3bad-4624-b03d-0abd8ce19297.png" \* MERGEFORMATINET </w:instrText>
      </w:r>
      <w:r>
        <w:rPr>
          <w:rFonts w:ascii="宋体" w:hAnsi="宋体" w:eastAsia="宋体" w:cs="宋体"/>
          <w:b/>
          <w:bCs/>
          <w:kern w:val="0"/>
          <w:sz w:val="30"/>
          <w:szCs w:val="30"/>
        </w:rPr>
        <w:fldChar w:fldCharType="separate"/>
      </w:r>
      <w:r>
        <w:rPr>
          <w:rFonts w:ascii="宋体" w:hAnsi="宋体" w:eastAsia="宋体" w:cs="宋体"/>
          <w:b/>
          <w:bCs/>
          <w:kern w:val="0"/>
          <w:sz w:val="30"/>
          <w:szCs w:val="30"/>
        </w:rPr>
        <w:drawing>
          <wp:inline distT="0" distB="0" distL="0" distR="0">
            <wp:extent cx="5270500" cy="2137410"/>
            <wp:effectExtent l="0" t="0" r="635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  <w:sz w:val="30"/>
          <w:szCs w:val="30"/>
        </w:rPr>
        <w:fldChar w:fldCharType="end"/>
      </w:r>
    </w:p>
    <w:p w14:paraId="48C6380D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1. 门诊医生点击导航栏的“检查结果”，对”看诊记录“页面选择的患者的检查结果进行查看。页面顶部会显示医生选择的患者基本信息。</w:t>
      </w:r>
    </w:p>
    <w:p w14:paraId="776127B5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2.系统会显示选择的患者的已经出结果的检查项目；</w:t>
      </w:r>
    </w:p>
    <w:p w14:paraId="653D348D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3. 门诊医生选择检查项目，会看到检查的结果；</w:t>
      </w:r>
    </w:p>
    <w:p w14:paraId="7815F157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1.11 门诊医生：门诊确诊</w:t>
      </w:r>
    </w:p>
    <w:p w14:paraId="7CD89AED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"https://cdn.nlark.com/yuque/0/2022/png/955151/1652864000763-225d8470-f25c-4734-8826-c1bf759c87af.png"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146935"/>
            <wp:effectExtent l="0" t="0" r="635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1CBC6DE9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1. 门诊医生点击导航栏的“门诊确诊”，对”看诊记录“页面选择的患者录入诊断结果和处理意见。</w:t>
      </w:r>
    </w:p>
    <w:p w14:paraId="03D14835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2. 门诊医生选择“确诊提交”，完成患者的病历确诊部分内容填写；</w:t>
      </w:r>
    </w:p>
    <w:p w14:paraId="0ECBD473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1.12 门诊医生：开设处方</w:t>
      </w:r>
    </w:p>
    <w:p w14:paraId="3CA20649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"https://cdn.nlark.com/yuque/0/2022/jpeg/955151/1652922979932-54dd556b-5df6-48db-94e0-fcfe1820d4f9.jpeg"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3978910"/>
            <wp:effectExtent l="0" t="0" r="635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2ED7F570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"https://cdn.nlark.com/yuque/0/2022/png/955151/1652864126136-a4e45e3f-6f2d-4af2-815f-e1e748366683.png"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373630"/>
            <wp:effectExtent l="0" t="0" r="635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2DEF9824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"https://cdn.nlark.com/yuque/0/2022/png/955151/1652864175199-239b0456-71ff-4c63-9ca4-3ca1bd425fec.png"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179320"/>
            <wp:effectExtent l="0" t="0" r="635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5BAC575F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"https://cdn.nlark.com/yuque/0/2022/png/955151/1652864626534-c271bae7-63a1-4c6f-b556-4da28c929508.png"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329180"/>
            <wp:effectExtent l="0" t="0" r="635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7DA0BD7C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1、 门诊医生点击导航栏的“开设处方”，进入处方界面，点击“增加”。</w:t>
      </w:r>
    </w:p>
    <w:p w14:paraId="1A92466B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2、 系统弹出“搜索药品界面”</w:t>
      </w:r>
    </w:p>
    <w:p w14:paraId="78A440D2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3、 门诊医生输入药品信息（药品编码、药品名称等）后，点击“查询”按钮，查询药品信息</w:t>
      </w:r>
    </w:p>
    <w:p w14:paraId="5057C335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4、 系统显示符合条件的药品列表</w:t>
      </w:r>
    </w:p>
    <w:p w14:paraId="51E8991A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5、 门诊医生选择所需药品，点击确定，添加药品到处方中</w:t>
      </w:r>
    </w:p>
    <w:p w14:paraId="634653E8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6、 关闭药品选择对话框，界面显示医生已经选择的药品内容。</w:t>
      </w:r>
    </w:p>
    <w:p w14:paraId="1C0DE6D7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7、 门诊医生对药品输入：用法、用量、频次、使用天数、用药嘱托等医嘱信息；输入药品数量</w:t>
      </w:r>
    </w:p>
    <w:p w14:paraId="5C5D8DBC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8、 门诊医生可以多次添加药品或删除药品；添加完药品后，门诊医生点击开立处方，完成处方开立。</w:t>
      </w:r>
    </w:p>
    <w:p w14:paraId="0C135804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9、 在主界面中，会有处方金额合计，根据数量改变会自动改变</w:t>
      </w:r>
    </w:p>
    <w:p w14:paraId="5D244873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10、点击每个药品，下拉列表显示药品的详细信息（药品编码、包装单位、生产厂家、药剂类型等）</w:t>
      </w:r>
    </w:p>
    <w:p w14:paraId="53FC4A0E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1.13 药房管理：药房发药</w:t>
      </w:r>
    </w:p>
    <w:p w14:paraId="10B1D29B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"https://cdn.nlark.com/yuque/0/2022/jpeg/955151/1652923219028-d357db97-0e65-486c-bdfc-d6ddc80ecf5a.jpeg"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3978910"/>
            <wp:effectExtent l="0" t="0" r="635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10E93DC8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"https://cdn.nlark.com/yuque/0/2022/png/955151/1652923204790-d3777a91-c4ff-4007-b835-b069f1230b33.png"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054860"/>
            <wp:effectExtent l="0" t="0" r="635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5EF3E158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1、 发药员点击导航栏的“药房发药”链接。</w:t>
      </w:r>
    </w:p>
    <w:p w14:paraId="4D18D5F1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2、 系统查询并在左侧显示待发药患者列表界面，查询条件包括：病历号、患者姓名；默认状态为“未发”（其他状态：已发、已退、全部）</w:t>
      </w:r>
    </w:p>
    <w:p w14:paraId="4CD46ABF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3、 发药员输入查询信息，点击“查询”</w:t>
      </w:r>
    </w:p>
    <w:p w14:paraId="0C100652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4、 系统显示符合条件的患者列表</w:t>
      </w:r>
    </w:p>
    <w:p w14:paraId="5DCF1E9A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5、 发药员选择对应患者</w:t>
      </w:r>
    </w:p>
    <w:p w14:paraId="6DD5D73B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6、 系统显示出该患者的待发药品信息，显示在界面上</w:t>
      </w:r>
    </w:p>
    <w:p w14:paraId="3FAED1BE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7、 发药员点击“发药”按钮。</w:t>
      </w:r>
    </w:p>
    <w:p w14:paraId="30B141A9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8、 完毕后会提示发药成功的信息。</w:t>
      </w:r>
    </w:p>
    <w:p w14:paraId="1B30CFDB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t>9、 发药员给患者药品</w:t>
      </w:r>
    </w:p>
    <w:p w14:paraId="3AA2C7C5">
      <w:pPr>
        <w:widowControl/>
        <w:spacing w:before="315" w:after="75" w:line="480" w:lineRule="atLeast"/>
        <w:jc w:val="left"/>
        <w:outlineLvl w:val="1"/>
        <w:rPr>
          <w:rFonts w:ascii="宋体" w:hAnsi="宋体" w:eastAsia="宋体" w:cs="宋体"/>
          <w:b/>
          <w:bCs/>
          <w:kern w:val="0"/>
          <w:sz w:val="36"/>
          <w:szCs w:val="36"/>
        </w:rPr>
      </w:pPr>
      <w:r>
        <w:rPr>
          <w:rFonts w:ascii="宋体" w:hAnsi="宋体" w:eastAsia="宋体" w:cs="宋体"/>
          <w:b/>
          <w:bCs/>
          <w:kern w:val="0"/>
          <w:sz w:val="36"/>
          <w:szCs w:val="36"/>
        </w:rPr>
        <w:t>2 原型设计：其他功能：</w:t>
      </w:r>
    </w:p>
    <w:p w14:paraId="11D6A7C9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"https://cdn.nlark.com/yuque/0/2022/jpeg/955151/1652930956711-ac8f1e7b-33ac-477c-a60e-3efb7ade6101.jpeg"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3978910"/>
            <wp:effectExtent l="0" t="0" r="635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72EF8DFA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2.1、门诊挂号：退费</w:t>
      </w:r>
    </w:p>
    <w:p w14:paraId="6B26A65B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"https://cdn.nlark.com/yuque/0/2022/png/955151/1652931337609-90951d24-79b4-4c31-82d6-f0d2dab0f3f8.png"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644775"/>
            <wp:effectExtent l="0" t="0" r="635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44C8D8AF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2.2、门诊挂号：退号</w:t>
      </w:r>
    </w:p>
    <w:p w14:paraId="682D9381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"https://cdn.nlark.com/yuque/0/2022/png/955151/1652931374061-aca7e57e-6c29-4b2f-a5e8-4dcd79d80880.png"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79400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3780A537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2.3、门诊挂号：费用记录查询</w:t>
      </w:r>
    </w:p>
    <w:p w14:paraId="5D4EF14A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"https://cdn.nlark.com/yuque/0/2022/png/955151/1652931405131-f8350994-a9e9-4db1-ac26-d5134795d637.png"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352040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388B9A92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2.4、门诊医生：开立检验</w:t>
      </w:r>
    </w:p>
    <w:p w14:paraId="5EB5A216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"https://cdn.nlark.com/yuque/0/2022/png/955151/1652931466429-a631bc8e-0040-40b0-935a-6f644eaa1d30.png"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732405"/>
            <wp:effectExtent l="0" t="0" r="635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79181808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2.5、门诊医生：开立处置</w:t>
      </w:r>
    </w:p>
    <w:p w14:paraId="2C5ED648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"https://cdn.nlark.com/yuque/0/2022/png/955151/1652931485802-5097b2d3-cfb5-4ad9-bf82-d33ac2750c1d.png"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797810"/>
            <wp:effectExtent l="0" t="0" r="635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4D4F46DF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2.6、检查医生：检查管理</w:t>
      </w:r>
    </w:p>
    <w:p w14:paraId="755EB41F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"https://cdn.nlark.com/yuque/0/2022/png/955151/1652931526154-5e773ead-5be8-40c9-933f-efaee68b7d02.png"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642870"/>
            <wp:effectExtent l="0" t="0" r="635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4D3104AB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2.7、检验医生：患者叫号</w:t>
      </w:r>
    </w:p>
    <w:p w14:paraId="6C8CF440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"https://cdn.nlark.com/yuque/0/2022/png/955151/1652931548770-8b68cbbc-91db-401e-bf3e-3b3b91a24f53.png"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282825"/>
            <wp:effectExtent l="0" t="0" r="635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76833D2C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2.8、检验医生：执行检验</w:t>
      </w:r>
    </w:p>
    <w:p w14:paraId="23CEBFFD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"https://cdn.nlark.com/yuque/0/2022/png/955151/1652931580672-52a4be79-b08a-44bf-8857-e2cc23aa6da9.png"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324735"/>
            <wp:effectExtent l="0" t="0" r="635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4DA82241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2.9、检验医生：录入检验结果</w:t>
      </w:r>
    </w:p>
    <w:p w14:paraId="4636ED2E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"https://cdn.nlark.com/yuque/0/2022/png/955151/1652931594109-962b6275-f304-4e71-a7ce-4bba42c01562.png"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715260"/>
            <wp:effectExtent l="0" t="0" r="635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4435E82F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2.10、检验医生：检验管理</w:t>
      </w:r>
    </w:p>
    <w:p w14:paraId="6319312F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"https://cdn.nlark.com/yuque/0/2022/png/955151/1652931607094-c870c031-84ed-40ab-b689-5b904e3287c6.png"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660015"/>
            <wp:effectExtent l="0" t="0" r="635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5880B74F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2.11、药库管理：退药</w:t>
      </w:r>
    </w:p>
    <w:p w14:paraId="5D05265E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"https://cdn.nlark.com/yuque/0/2022/png/955151/1652931621395-41d4369d-02a0-4463-964a-160b4c334467.png"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354580"/>
            <wp:effectExtent l="0" t="0" r="635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299DC7BB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2.12、药库管理：药品管理</w:t>
      </w:r>
    </w:p>
    <w:p w14:paraId="250413C6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"https://cdn.nlark.com/yuque/0/2022/png/955151/1652931661869-7ddc0f11-4ca0-4e8e-94de-20b4bc585beb.png"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987040"/>
            <wp:effectExtent l="0" t="0" r="635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2877474E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2.13、药库管理：交易记录</w:t>
      </w:r>
    </w:p>
    <w:p w14:paraId="02F753E8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"https://cdn.nlark.com/yuque/0/2022/png/955151/1652931681429-46131a71-dc3c-479c-98fd-7be90d13a618.png"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699385"/>
            <wp:effectExtent l="0" t="0" r="635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5ECE9E11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</w:p>
    <w:p w14:paraId="3792D109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2.15、处置医生：执行处置</w:t>
      </w:r>
    </w:p>
    <w:p w14:paraId="166A1E77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"https://cdn.nlark.com/yuque/0/2022/png/955151/1652931706613-100f7cc5-e154-42fb-bbdb-d0012368b328.png"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345055"/>
            <wp:effectExtent l="0" t="0" r="635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001F66B1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2.16、处置医生：录入处置结果</w:t>
      </w:r>
    </w:p>
    <w:p w14:paraId="4FB35543">
      <w:pPr>
        <w:widowControl/>
        <w:spacing w:before="150" w:after="75" w:line="360" w:lineRule="atLeast"/>
        <w:jc w:val="left"/>
        <w:outlineLvl w:val="3"/>
        <w:rPr>
          <w:rFonts w:ascii="宋体" w:hAnsi="宋体" w:eastAsia="宋体" w:cs="宋体"/>
          <w:b/>
          <w:bCs/>
          <w:kern w:val="0"/>
        </w:rPr>
      </w:pPr>
      <w:r>
        <w:rPr>
          <w:rFonts w:ascii="宋体" w:hAnsi="宋体" w:eastAsia="宋体" w:cs="宋体"/>
          <w:b/>
          <w:bCs/>
          <w:kern w:val="0"/>
        </w:rPr>
        <w:fldChar w:fldCharType="begin"/>
      </w:r>
      <w:r>
        <w:rPr>
          <w:rFonts w:ascii="宋体" w:hAnsi="宋体" w:eastAsia="宋体" w:cs="宋体"/>
          <w:b/>
          <w:bCs/>
          <w:kern w:val="0"/>
        </w:rPr>
        <w:instrText xml:space="preserve"> INCLUDEPICTURE "https://cdn.nlark.com/yuque/0/2022/png/955151/1652931719919-e70eda78-c640-4dd6-ab8f-2962cb1dcc17.png" \* MERGEFORMATINET </w:instrText>
      </w:r>
      <w:r>
        <w:rPr>
          <w:rFonts w:ascii="宋体" w:hAnsi="宋体" w:eastAsia="宋体" w:cs="宋体"/>
          <w:b/>
          <w:bCs/>
          <w:kern w:val="0"/>
        </w:rPr>
        <w:fldChar w:fldCharType="separate"/>
      </w:r>
      <w:r>
        <w:rPr>
          <w:rFonts w:ascii="宋体" w:hAnsi="宋体" w:eastAsia="宋体" w:cs="宋体"/>
          <w:b/>
          <w:bCs/>
          <w:kern w:val="0"/>
        </w:rPr>
        <w:drawing>
          <wp:inline distT="0" distB="0" distL="0" distR="0">
            <wp:extent cx="5270500" cy="2756535"/>
            <wp:effectExtent l="0" t="0" r="635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  <w:kern w:val="0"/>
        </w:rPr>
        <w:fldChar w:fldCharType="end"/>
      </w:r>
    </w:p>
    <w:p w14:paraId="2DDAD7B0">
      <w:pPr>
        <w:widowControl/>
        <w:spacing w:before="240" w:after="75" w:line="420" w:lineRule="atLeast"/>
        <w:jc w:val="left"/>
        <w:outlineLvl w:val="2"/>
        <w:rPr>
          <w:rFonts w:ascii="宋体" w:hAnsi="宋体" w:eastAsia="宋体" w:cs="宋体"/>
          <w:b/>
          <w:bCs/>
          <w:kern w:val="0"/>
          <w:sz w:val="30"/>
          <w:szCs w:val="30"/>
        </w:rPr>
      </w:pPr>
      <w:r>
        <w:rPr>
          <w:rFonts w:ascii="宋体" w:hAnsi="宋体" w:eastAsia="宋体" w:cs="宋体"/>
          <w:b/>
          <w:bCs/>
          <w:kern w:val="0"/>
          <w:sz w:val="30"/>
          <w:szCs w:val="30"/>
        </w:rPr>
        <w:t>2.17、处置医生：处置管理</w:t>
      </w:r>
    </w:p>
    <w:p w14:paraId="3F9155D3">
      <w:pPr>
        <w:widowControl/>
        <w:jc w:val="left"/>
        <w:rPr>
          <w:rFonts w:ascii="宋体" w:hAnsi="宋体" w:eastAsia="宋体" w:cs="宋体"/>
          <w:kern w:val="0"/>
        </w:rPr>
      </w:pPr>
      <w:r>
        <w:rPr>
          <w:rFonts w:ascii="宋体" w:hAnsi="宋体" w:eastAsia="宋体" w:cs="宋体"/>
          <w:kern w:val="0"/>
        </w:rPr>
        <w:fldChar w:fldCharType="begin"/>
      </w:r>
      <w:r>
        <w:rPr>
          <w:rFonts w:ascii="宋体" w:hAnsi="宋体" w:eastAsia="宋体" w:cs="宋体"/>
          <w:kern w:val="0"/>
        </w:rPr>
        <w:instrText xml:space="preserve"> INCLUDEPICTURE "https://cdn.nlark.com/yuque/0/2022/png/955151/1652931733417-42a9cf04-86ea-4f14-80d3-984f2bf84ca4.png" \* MERGEFORMATINET </w:instrText>
      </w:r>
      <w:r>
        <w:rPr>
          <w:rFonts w:ascii="宋体" w:hAnsi="宋体" w:eastAsia="宋体" w:cs="宋体"/>
          <w:kern w:val="0"/>
        </w:rPr>
        <w:fldChar w:fldCharType="separate"/>
      </w:r>
      <w:r>
        <w:rPr>
          <w:rFonts w:ascii="宋体" w:hAnsi="宋体" w:eastAsia="宋体" w:cs="宋体"/>
          <w:kern w:val="0"/>
        </w:rPr>
        <w:drawing>
          <wp:inline distT="0" distB="0" distL="0" distR="0">
            <wp:extent cx="5270500" cy="2693670"/>
            <wp:effectExtent l="0" t="0" r="635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</w:rPr>
        <w:fldChar w:fldCharType="end"/>
      </w:r>
    </w:p>
    <w:p w14:paraId="4E1876DB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E66742"/>
    <w:rsid w:val="02A24E17"/>
    <w:rsid w:val="0728596A"/>
    <w:rsid w:val="385775AE"/>
    <w:rsid w:val="393E345F"/>
    <w:rsid w:val="401517C3"/>
    <w:rsid w:val="4BAA5635"/>
    <w:rsid w:val="4E3F065B"/>
    <w:rsid w:val="58FE5CA3"/>
    <w:rsid w:val="6005151A"/>
    <w:rsid w:val="617701F5"/>
    <w:rsid w:val="62E96ED1"/>
    <w:rsid w:val="6D7A3B1D"/>
    <w:rsid w:val="70E6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2025-09-01T22:41:00Z</dcterms:created>
  <dc:creator>pc</dc:creator>
  <cp:lastModifiedBy>pc</cp:lastModifiedBy>
  <dcterms:modified xsi:type="dcterms:W3CDTF">2025-09-01T22:57:27Z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AF925349FB2449B787F938D08C415847_13</vt:lpwstr>
  </property>
  <property fmtid="{D5CDD505-2E9C-101B-9397-08002B2CF9AE}" pid="4" name="KSOTemplateDocerSaveRecord">
    <vt:lpwstr>eyJoZGlkIjoiZTRjYzlmOWMwNjdiODFjNDBmOTZhODA1ZmFmYWI5N2IifQ==</vt:lpwstr>
  </property>
</Properties>
</file>