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3238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62000"/>
                    </a:xfrm>
                    <a:prstGeom prst="rect">
                      <a:avLst/>
                    </a:prstGeom>
                  </pic:spPr>
                </pic:pic>
              </a:graphicData>
            </a:graphic>
          </wp:inline>
        </w:drawing>
      </w:r>
    </w:p>
    <w:p>
      <w:pPr>
        <w:spacing w:before="200"/>
        <w:jc w:val="center"/>
      </w:pPr>
      <w:r>
        <w:rPr>
          <w:rFonts w:ascii="Aptos" w:cs="Aptos" w:eastAsia="Aptos" w:hAnsi="Aptos"/>
          <w:b/>
          <w:bCs/>
          <w:color w:val="1F4E79"/>
          <w:sz w:val="32"/>
          <w:szCs w:val="32"/>
        </w:rPr>
        <w:t xml:space="preserve">CYBER-ENERGY SECURITY FOR</w:t>
      </w:r>
      <w:r>
        <w:br/>
        <w:t xml:space="preserve"/>
      </w:r>
      <w:r>
        <w:rPr>
          <w:rFonts w:ascii="Aptos" w:cs="Aptos" w:eastAsia="Aptos" w:hAnsi="Aptos"/>
          <w:b/>
          <w:bCs/>
          <w:color w:val="1F4E79"/>
          <w:sz w:val="32"/>
          <w:szCs w:val="32"/>
        </w:rPr>
        <w:t xml:space="preserve">CRITICAL INFRASTRUCTURE</w:t>
      </w:r>
    </w:p>
    <w:p>
      <w:pPr>
        <w:spacing w:before="200"/>
        <w:jc w:val="center"/>
      </w:pPr>
      <w:r>
        <w:drawing>
          <wp:inline distT="0" distB="0" distL="0" distR="0">
            <wp:extent cx="952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381000"/>
                    </a:xfrm>
                    <a:prstGeom prst="rect">
                      <a:avLst/>
                    </a:prstGeom>
                  </pic:spPr>
                </pic:pic>
              </a:graphicData>
            </a:graphic>
          </wp:inline>
        </w:drawing>
      </w:r>
    </w:p>
    <w:p>
      <w:pPr>
        <w:spacing w:before="200"/>
        <w:jc w:val="center"/>
      </w:pPr>
      <w:r>
        <w:rPr>
          <w:rFonts w:ascii="Aptos" w:cs="Aptos" w:eastAsia="Aptos" w:hAnsi="Aptos"/>
          <w:b/>
          <w:bCs/>
          <w:color w:val="D4A853"/>
          <w:sz w:val="30"/>
          <w:szCs w:val="30"/>
        </w:rPr>
        <w:t>MODULE 5 — LAB RUN BOOK</w:t>
      </w:r>
    </w:p>
    <w:p>
      <w:pPr>
        <w:jc w:val="center"/>
      </w:pPr>
      <w:r>
        <w:rPr>
          <w:rFonts w:ascii="Aptos" w:cs="Aptos" w:eastAsia="Aptos" w:hAnsi="Aptos"/>
          <w:b/>
          <w:bCs/>
          <w:color w:val="2E75B6"/>
          <w:sz w:val="26"/>
          <w:szCs w:val="26"/>
        </w:rPr>
        <w:t>VULNERABILITY ASSESSMENT</w:t>
      </w:r>
    </w:p>
    <w:p>
      <w:pPr>
        <w:jc w:val="center"/>
      </w:pPr>
      <w:r>
        <w:rPr>
          <w:rFonts w:ascii="Aptos" w:cs="Aptos" w:eastAsia="Aptos" w:hAnsi="Aptos"/>
          <w:i/>
          <w:iCs/>
          <w:color w:val="415A77"/>
          <w:sz w:val="20"/>
          <w:szCs w:val="20"/>
        </w:rPr>
        <w:t>Instructor &amp; Trainee Practical Guide — 7 Lab Days</w:t>
      </w:r>
    </w:p>
    <w:p>
      <w:pPr>
        <w:jc w:val="center"/>
      </w:pPr>
      <w:r>
        <w:rPr>
          <w:rFonts w:ascii="Aptos" w:cs="Aptos" w:eastAsia="Aptos" w:hAnsi="Aptos"/>
          <w:i/>
          <w:iCs/>
          <w:color w:val="415A77"/>
          <w:sz w:val="20"/>
          <w:szCs w:val="20"/>
        </w:rPr>
        <w:t>(Palanca Offshore Platform — 5.5kV/11kV SCADA Network)</w:t>
      </w:r>
    </w:p>
    <w:p>
      <w:pPr>
        <w:spacing w:before="200"/>
        <w:jc w:val="center"/>
      </w:pPr>
      <w:r>
        <w:drawing>
          <wp:inline distT="0" distB="0" distL="0" distR="0">
            <wp:extent cx="571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285750"/>
                    </a:xfrm>
                    <a:prstGeom prst="rect">
                      <a:avLst/>
                    </a:prstGeom>
                  </pic:spPr>
                </pic:pic>
              </a:graphicData>
            </a:graphic>
          </wp:inline>
        </w:drawing>
      </w:r>
    </w:p>
    <w:p>
      <w:pPr>
        <w:spacing w:before="200"/>
        <w:jc w:val="center"/>
      </w:pPr>
      <w:r>
        <w:rPr>
          <w:rFonts w:ascii="Aptos" w:cs="Aptos" w:eastAsia="Aptos" w:hAnsi="Aptos"/>
          <w:color w:val="2E75B6"/>
          <w:sz w:val="20"/>
          <w:szCs w:val="20"/>
        </w:rPr>
        <w:t xml:space="preserve">NC-HCD Digitization &amp; Digitalization Programme</w:t>
      </w:r>
    </w:p>
    <w:p>
      <w:pPr>
        <w:jc w:val="center"/>
      </w:pPr>
      <w:r>
        <w:rPr>
          <w:rFonts w:ascii="Aptos" w:cs="Aptos" w:eastAsia="Aptos" w:hAnsi="Aptos"/>
          <w:b/>
          <w:bCs/>
          <w:color w:val="1F4E79"/>
          <w:sz w:val="20"/>
          <w:szCs w:val="20"/>
        </w:rPr>
        <w:t xml:space="preserve">Global Oceon Engineers Nigeria Limited</w:t>
      </w:r>
    </w:p>
    <w:p>
      <w:pPr>
        <w:jc w:val="center"/>
      </w:pPr>
      <w:r>
        <w:rPr>
          <w:rFonts w:ascii="Aptos" w:cs="Aptos" w:eastAsia="Aptos" w:hAnsi="Aptos"/>
          <w:color w:val="AAAAAA"/>
          <w:sz w:val="18"/>
          <w:szCs w:val="18"/>
        </w:rPr>
        <w:t xml:space="preserve">In Partnership with Subsea7 · Petrolog Group</w:t>
      </w:r>
    </w:p>
    <w:p>
      <w:pPr>
        <w:sectPr>
          <w:pgSz w:w="12240" w:h="15840" w:orient="portrait"/>
          <w:pgMar w:top="1200" w:right="1200" w:bottom="900" w:left="1200" w:header="708" w:footer="708" w:gutter="0"/>
          <w:pgNumType/>
          <w:titlePg/>
          <w:docGrid w:linePitch="360"/>
        </w:sectPr>
      </w:pPr>
    </w:p>
    <w:p>
      <w:pPr>
        <w:pStyle w:val="Heading2"/>
        <w:spacing w:after="120" w:before="280"/>
      </w:pPr>
      <w:r>
        <w:rPr>
          <w:rFonts w:ascii="Aptos" w:cs="Aptos" w:eastAsia="Aptos" w:hAnsi="Aptos"/>
          <w:b/>
          <w:bCs/>
          <w:color w:val="1F4E79"/>
          <w:sz w:val="24"/>
          <w:szCs w:val="24"/>
        </w:rPr>
        <w:t xml:space="preserve">Notice &amp; Disclaimer</w:t>
      </w:r>
    </w:p>
    <w:p>
      <w:pPr>
        <w:spacing w:after="120"/>
      </w:pPr>
      <w:r>
        <w:rPr>
          <w:rFonts w:ascii="Aptos" w:cs="Aptos" w:eastAsia="Aptos" w:hAnsi="Aptos"/>
          <w:color w:val="333333"/>
          <w:sz w:val="20"/>
          <w:szCs w:val="20"/>
        </w:rPr>
        <w:t xml:space="preserve">This is an electronically generated document, which has been reviewed and approved in accordance with the OCEON Management System. An audit trail of review and approval is available within the electronic system. The screen version of this document is the CONTROLLED COPY at all times. When printed, it is considered a FOR INFORMATION ONLY copy, and it is the holder's responsibility that he / she holds the latest valid version.</w:t>
      </w:r>
    </w:p>
    <w:p>
      <w:pPr>
        <w:spacing w:after="120"/>
      </w:pPr>
      <w:r>
        <w:rPr>
          <w:rFonts w:ascii="Aptos" w:cs="Aptos" w:eastAsia="Aptos" w:hAnsi="Aptos"/>
          <w:color w:val="333333"/>
          <w:sz w:val="20"/>
          <w:szCs w:val="20"/>
        </w:rPr>
        <w:t xml:space="preserve">OCEON or a subsidiary thereof, Copyright 2025 and design right reserved. Copying and/or disclosure of the confidential information contained herein is prohibited without written permission of the proprietor.</w:t>
      </w:r>
    </w:p>
    <w:p>
      <w:r>
        <w:br w:type="page"/>
      </w:r>
    </w:p>
    <w:p>
      <w:pPr>
        <w:pStyle w:val="Heading2"/>
      </w:pPr>
      <w:r>
        <w:t xml:space="preserve">Purpose of This Run Book</w:t>
      </w:r>
    </w:p>
    <w:p>
      <w:pPr>
        <w:spacing w:after="140" w:line="320" w:lineRule="auto"/>
      </w:pPr>
      <w:r>
        <w:t xml:space="preserve">This run book is the step-by-step companion to the 7-day hands-on lab in Module 5, Section 5.9. It reuses the existing Module 2 Palanca lab environment as the scan target throughout, plus the OTSafeScanner starter code and offline CVE dataset from the accompanying Module 5 Vulnerability Lab package.</w:t>
      </w:r>
    </w:p>
    <w:tbl>
      <w:tblPr>
        <w:tblW w:w="9840" w:type="dxa"/>
      </w:tblPr>
      <w:tblGrid>
        <w:gridCol w:w="9840"/>
      </w:tblGrid>
      <w:tr>
        <w:tc>
          <w:tcPr>
            <w:tcW w:w="9840" w:type="dxa"/>
            <w:tcBorders>
              <w:top w:val="single" w:sz="4" w:color="2E75B6" w:space="0"/>
              <w:left w:val="single" w:sz="1" w:color="CCCCCC" w:space="0"/>
              <w:bottom w:val="single" w:sz="1" w:color="CCCCCC" w:space="0"/>
              <w:right w:val="single" w:sz="1" w:color="CCCCCC" w:space="0"/>
            </w:tcBorders>
            <w:shd w:val="clear" w:color="auto" w:fill="F2F7FA"/>
            <w:tcMar>
              <w:top w:w="120" w:type="dxa"/>
              <w:left w:w="200" w:type="dxa"/>
              <w:bottom w:w="120" w:type="dxa"/>
              <w:right w:w="200" w:type="dxa"/>
            </w:tcMar>
          </w:tcPr>
          <w:p>
            <w:pPr>
              <w:spacing w:after="30" w:line="320" w:lineRule="auto"/>
            </w:pPr>
            <w:r>
              <w:rPr>
                <w:b/>
                <w:bCs/>
                <w:color w:val="1F4E79"/>
                <w:sz w:val="21"/>
                <w:szCs w:val="21"/>
              </w:rPr>
              <w:t xml:space="preserve">Before Day 1:</w:t>
            </w:r>
          </w:p>
          <w:p>
            <w:r>
              <w:t xml:space="preserve">Run ./setup.sh from the module5-vuln-lab package to install python-nmap and verify the CVE reference dataset. Confirm your Module 2 lab environment (Docker or VirtualBox) is running.</w:t>
            </w:r>
          </w:p>
        </w:tc>
      </w:tr>
    </w:tbl>
    <w:p>
      <w:pPr>
        <w:pStyle w:val="Heading2"/>
      </w:pPr>
      <w:r>
        <w:t xml:space="preserve">Day 1 — Nmap Fundamentals</w:t>
      </w:r>
    </w:p>
    <w:p>
      <w:pPr>
        <w:pStyle w:val="Heading3"/>
      </w:pPr>
      <w:r>
        <w:t xml:space="preserve">Objectives</w:t>
      </w:r>
    </w:p>
    <w:p>
      <w:pPr>
        <w:spacing w:after="100" w:line="320" w:lineRule="auto"/>
        <w:ind w:left="720" w:hanging="360"/>
      </w:pPr>
      <w:r>
        <w:t xml:space="preserve">•  Install and configure Nmap; understand scan types and output formats.</w:t>
      </w:r>
    </w:p>
    <w:p>
      <w:pPr>
        <w:pStyle w:val="Heading3"/>
      </w:pPr>
      <w:r>
        <w:t xml:space="preserve">Step-by-Step (Trainee)</w:t>
      </w:r>
    </w:p>
    <w:p>
      <w:pPr>
        <w:spacing w:after="100" w:line="320" w:lineRule="auto"/>
        <w:ind w:left="720" w:hanging="360"/>
      </w:pPr>
      <w:r>
        <w:rPr>
          <w:b/>
          <w:bCs/>
        </w:rPr>
        <w:t xml:space="preserve">1.  </w:t>
      </w:r>
      <w:r>
        <w:t xml:space="preserve">Confirm Nmap is installed: nmap --version.</w:t>
      </w:r>
    </w:p>
    <w:p>
      <w:pPr>
        <w:spacing w:after="100" w:line="320" w:lineRule="auto"/>
        <w:ind w:left="720" w:hanging="360"/>
      </w:pPr>
      <w:r>
        <w:rPr>
          <w:b/>
          <w:bCs/>
        </w:rPr>
        <w:t xml:space="preserve">2.  </w:t>
      </w:r>
      <w:r>
        <w:t xml:space="preserve">Run a basic TCP Connect scan against a non-OT lab target (e.g. eng-ws-01 or historian-01 from the Module 2 lab) to practice syntax safely before touching any PLC/RTU.</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pPr>
              <w:spacing w:after="0" w:line="240" w:lineRule="auto"/>
            </w:pPr>
            <w:r>
              <w:rPr>
                <w:color w:val="333333"/>
                <w:sz w:val="18"/>
                <w:szCs w:val="18"/>
                <w:rFonts w:ascii="Consolas" w:eastAsia="Consolas" w:hAnsi="Consolas" w:cs="Consolas"/>
              </w:rPr>
              <w:t xml:space="preserve">nmap -sT 192.168.2.20</w:t>
            </w:r>
          </w:p>
          <w:p>
            <w:pPr>
              <w:spacing w:after="0" w:line="240" w:lineRule="auto"/>
            </w:pPr>
            <w:r>
              <w:rPr>
                <w:color w:val="333333"/>
                <w:sz w:val="18"/>
                <w:szCs w:val="18"/>
                <w:rFonts w:ascii="Consolas" w:eastAsia="Consolas" w:hAnsi="Consolas" w:cs="Consolas"/>
              </w:rPr>
              <w:t xml:space="preserve">nmap -sT -oX scan.xml 192.168.2.20</w:t>
            </w:r>
          </w:p>
          <w:p>
            <w:r>
              <w:rPr>
                <w:color w:val="333333"/>
                <w:sz w:val="18"/>
                <w:szCs w:val="18"/>
                <w:rFonts w:ascii="Consolas" w:eastAsia="Consolas" w:hAnsi="Consolas" w:cs="Consolas"/>
              </w:rPr>
              <w:t xml:space="preserve">nmap -sT -oG scan.grepable 192.168.2.20</w:t>
            </w:r>
          </w:p>
        </w:tc>
      </w:tr>
    </w:tbl>
    <w:p>
      <w:pPr>
        <w:spacing w:after="100" w:line="320" w:lineRule="auto"/>
        <w:ind w:left="720" w:hanging="360"/>
      </w:pPr>
      <w:r>
        <w:rPr>
          <w:b/>
          <w:bCs/>
        </w:rPr>
        <w:t xml:space="preserve">3.  </w:t>
      </w:r>
      <w:r>
        <w:t xml:space="preserve">Compare -sT (TCP Connect), -sS (SYN scan), and -sV (version detection) on the same non-OT target, and note the differences in output detail and completion time.</w:t>
      </w:r>
    </w:p>
    <w:p>
      <w:pPr>
        <w:pStyle w:val="Heading3"/>
      </w:pPr>
      <w:r>
        <w:t xml:space="preserve">Deliverable</w:t>
      </w:r>
    </w:p>
    <w:p>
      <w:pPr>
        <w:spacing w:after="140" w:line="320" w:lineRule="auto"/>
      </w:pPr>
      <w:r>
        <w:t xml:space="preserve">Nmap configuration reference guide (your own notes on flags, output formats, and scan-type differences).</w:t>
      </w:r>
    </w:p>
    <w:p>
      <w:pPr>
        <w:pStyle w:val="Heading2"/>
      </w:pPr>
      <w:r>
        <w:t xml:space="preserve">Day 2 — OT-Safe Scanning</w:t>
      </w:r>
    </w:p>
    <w:tbl>
      <w:tblPr>
        <w:tblW w:w="9840" w:type="dxa"/>
      </w:tblPr>
      <w:tblGrid>
        <w:gridCol w:w="9840"/>
      </w:tblGrid>
      <w:tr>
        <w:tc>
          <w:tcPr>
            <w:tcW w:w="9840" w:type="dxa"/>
            <w:tcBorders>
              <w:top w:val="single" w:sz="4" w:color="2E75B6" w:space="0"/>
              <w:left w:val="single" w:sz="1" w:color="CCCCCC" w:space="0"/>
              <w:bottom w:val="single" w:sz="1" w:color="CCCCCC" w:space="0"/>
              <w:right w:val="single" w:sz="1" w:color="CCCCCC" w:space="0"/>
            </w:tcBorders>
            <w:shd w:val="clear" w:color="auto" w:fill="F2F7FA"/>
            <w:tcMar>
              <w:top w:w="120" w:type="dxa"/>
              <w:left w:w="200" w:type="dxa"/>
              <w:bottom w:w="120" w:type="dxa"/>
              <w:right w:w="200" w:type="dxa"/>
            </w:tcMar>
          </w:tcPr>
          <w:p>
            <w:pPr>
              <w:spacing w:after="30" w:line="320" w:lineRule="auto"/>
            </w:pPr>
            <w:r>
              <w:rPr>
                <w:b/>
                <w:bCs/>
                <w:color w:val="1F4E79"/>
                <w:sz w:val="21"/>
                <w:szCs w:val="21"/>
              </w:rPr>
              <w:t xml:space="preserve">Safety reminder:</w:t>
            </w:r>
          </w:p>
          <w:p>
            <w:r>
              <w:t xml:space="preserve">Every command below uses -T2 and --max-rate 10, matching the Zero Disruption Methodology (Section 5.1.2). Do not increase these values against the Palanca lab devices.</w:t>
            </w:r>
          </w:p>
        </w:tc>
      </w:tr>
    </w:tbl>
    <w:p>
      <w:pPr>
        <w:pStyle w:val="Heading3"/>
      </w:pPr>
      <w:r>
        <w:t xml:space="preserve">Objectives</w:t>
      </w:r>
    </w:p>
    <w:p>
      <w:pPr>
        <w:spacing w:after="100" w:line="320" w:lineRule="auto"/>
        <w:ind w:left="720" w:hanging="360"/>
      </w:pPr>
      <w:r>
        <w:t xml:space="preserve">•  Apply OT-safe Nmap parameters against the Palanca lab; use NSE scripts for device identification.</w:t>
      </w:r>
    </w:p>
    <w:p>
      <w:pPr>
        <w:pStyle w:val="Heading3"/>
      </w:pPr>
      <w:r>
        <w:t xml:space="preserve">Step-by-Step (Trainee)</w:t>
      </w:r>
    </w:p>
    <w:p>
      <w:pPr>
        <w:spacing w:after="100" w:line="320" w:lineRule="auto"/>
        <w:ind w:left="720" w:hanging="360"/>
      </w:pPr>
      <w:r>
        <w:rPr>
          <w:b/>
          <w:bCs/>
        </w:rPr>
        <w:t xml:space="preserve">1.  </w:t>
      </w:r>
      <w:r>
        <w:t xml:space="preserve">Host discovery, OT-safe:</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r>
              <w:rPr>
                <w:color w:val="333333"/>
                <w:sz w:val="18"/>
                <w:szCs w:val="18"/>
                <w:rFonts w:ascii="Consolas" w:eastAsia="Consolas" w:hAnsi="Consolas" w:cs="Consolas"/>
              </w:rPr>
              <w:t xml:space="preserve">nmap -sn -T2 --max-rate 10 192.168.1.0/24</w:t>
            </w:r>
          </w:p>
        </w:tc>
      </w:tr>
    </w:tbl>
    <w:p>
      <w:pPr>
        <w:spacing w:after="100" w:line="320" w:lineRule="auto"/>
        <w:ind w:left="720" w:hanging="360"/>
      </w:pPr>
      <w:r>
        <w:rPr>
          <w:b/>
          <w:bCs/>
        </w:rPr>
        <w:t xml:space="preserve">2.  </w:t>
      </w:r>
      <w:r>
        <w:t xml:space="preserve">Port scan, OT-safe (TCP Connect only, OT ports only):</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r>
              <w:rPr>
                <w:color w:val="333333"/>
                <w:sz w:val="18"/>
                <w:szCs w:val="18"/>
                <w:rFonts w:ascii="Consolas" w:eastAsia="Consolas" w:hAnsi="Consolas" w:cs="Consolas"/>
              </w:rPr>
              <w:t xml:space="preserve">nmap -sT -T2 --max-rate 10 -p 22,80,102,443,502,4840 192.168.1.10-40</w:t>
            </w:r>
          </w:p>
        </w:tc>
      </w:tr>
    </w:tbl>
    <w:p>
      <w:pPr>
        <w:spacing w:after="100" w:line="320" w:lineRule="auto"/>
        <w:ind w:left="720" w:hanging="360"/>
      </w:pPr>
      <w:r>
        <w:rPr>
          <w:b/>
          <w:bCs/>
        </w:rPr>
        <w:t xml:space="preserve">3.  </w:t>
      </w:r>
      <w:r>
        <w:t xml:space="preserve">Run modbus-discover and (where applicable) s7-info against the Modbus devices:</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r>
              <w:rPr>
                <w:color w:val="333333"/>
                <w:sz w:val="18"/>
                <w:szCs w:val="18"/>
                <w:rFonts w:ascii="Consolas" w:eastAsia="Consolas" w:hAnsi="Consolas" w:cs="Consolas"/>
              </w:rPr>
              <w:t xml:space="preserve">nmap -sT -T1 --max-rate 5 -p 502 --script modbus-discover 192.168.1.10-40</w:t>
            </w:r>
          </w:p>
        </w:tc>
      </w:tr>
    </w:tbl>
    <w:p>
      <w:pPr>
        <w:pStyle w:val="Heading3"/>
      </w:pPr>
      <w:r>
        <w:t xml:space="preserve">Deliverable</w:t>
      </w:r>
    </w:p>
    <w:p>
      <w:pPr>
        <w:spacing w:after="140" w:line="320" w:lineRule="auto"/>
      </w:pPr>
      <w:r>
        <w:t xml:space="preserve">OT-safe scan results with device inventory (cross-reference against your Module 2 asset inventory).</w:t>
      </w:r>
    </w:p>
    <w:p>
      <w:pPr>
        <w:pStyle w:val="Heading2"/>
      </w:pPr>
      <w:r>
        <w:t xml:space="preserve">Day 3 — Python Scanner Development</w:t>
      </w:r>
    </w:p>
    <w:p>
      <w:pPr>
        <w:pStyle w:val="Heading3"/>
      </w:pPr>
      <w:r>
        <w:t xml:space="preserve">Objectives</w:t>
      </w:r>
    </w:p>
    <w:p>
      <w:pPr>
        <w:spacing w:after="100" w:line="320" w:lineRule="auto"/>
        <w:ind w:left="720" w:hanging="360"/>
      </w:pPr>
      <w:r>
        <w:t xml:space="preserve">•  Build and run the OTSafeScanner class with enforced safety checks.</w:t>
      </w:r>
    </w:p>
    <w:p>
      <w:pPr>
        <w:pStyle w:val="Heading3"/>
      </w:pPr>
      <w:r>
        <w:t xml:space="preserve">Step-by-Step (Trainee)</w:t>
      </w:r>
    </w:p>
    <w:p>
      <w:pPr>
        <w:spacing w:after="100" w:line="320" w:lineRule="auto"/>
        <w:ind w:left="720" w:hanging="360"/>
      </w:pPr>
      <w:r>
        <w:rPr>
          <w:b/>
          <w:bCs/>
        </w:rPr>
        <w:t xml:space="preserve">1.  </w:t>
      </w:r>
      <w:r>
        <w:t xml:space="preserve">Open ot_safe_scanner.py. Review the EXCLUDED_IPS list and update it to match your actual Module 2 lab's asset inventory — do not assume the placeholder addresses are correct for your environment.</w:t>
      </w:r>
    </w:p>
    <w:p>
      <w:pPr>
        <w:spacing w:after="100" w:line="320" w:lineRule="auto"/>
        <w:ind w:left="720" w:hanging="360"/>
      </w:pPr>
      <w:r>
        <w:rPr>
          <w:b/>
          <w:bCs/>
        </w:rPr>
        <w:t xml:space="preserve">2.  </w:t>
      </w:r>
      <w:r>
        <w:t xml:space="preserve">Run the scanner's host discovery and port scan phases against your lab subnet.</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r>
              <w:rPr>
                <w:color w:val="333333"/>
                <w:sz w:val="18"/>
                <w:szCs w:val="18"/>
                <w:rFonts w:ascii="Consolas" w:eastAsia="Consolas" w:hAnsi="Consolas" w:cs="Consolas"/>
              </w:rPr>
              <w:t xml:space="preserve">python3 ot_safe_scanner.py</w:t>
            </w:r>
          </w:p>
        </w:tc>
      </w:tr>
    </w:tbl>
    <w:p>
      <w:pPr>
        <w:spacing w:after="100" w:line="320" w:lineRule="auto"/>
        <w:ind w:left="720" w:hanging="360"/>
      </w:pPr>
      <w:r>
        <w:rPr>
          <w:b/>
          <w:bCs/>
        </w:rPr>
        <w:t xml:space="preserve">3.  </w:t>
      </w:r>
      <w:r>
        <w:t xml:space="preserve">Test the safety check deliberately: add an excluded IP to a target list and confirm validate_targets() raises a ValueError instead of silently scanning it.</w:t>
      </w:r>
    </w:p>
    <w:p>
      <w:pPr>
        <w:pStyle w:val="Heading3"/>
      </w:pPr>
      <w:r>
        <w:t xml:space="preserve">Deliverable</w:t>
      </w:r>
    </w:p>
    <w:p>
      <w:pPr>
        <w:spacing w:after="140" w:line="320" w:lineRule="auto"/>
      </w:pPr>
      <w:r>
        <w:t xml:space="preserve">Working Python scanner with demonstrated safety protections (screenshot/log of the safety violation test).</w:t>
      </w:r>
    </w:p>
    <w:p>
      <w:pPr>
        <w:pStyle w:val="Heading2"/>
      </w:pPr>
      <w:r>
        <w:t xml:space="preserve">Day 4 — CVE Correlation &amp; CVSS Scoring</w:t>
      </w:r>
    </w:p>
    <w:p>
      <w:pPr>
        <w:pStyle w:val="Heading3"/>
      </w:pPr>
      <w:r>
        <w:t xml:space="preserve">Objectives</w:t>
      </w:r>
    </w:p>
    <w:p>
      <w:pPr>
        <w:spacing w:after="100" w:line="320" w:lineRule="auto"/>
        <w:ind w:left="720" w:hanging="360"/>
      </w:pPr>
      <w:r>
        <w:t xml:space="preserve">•  Correlate discovered device versions with CVEs; apply OT-adjusted CVSS scoring.</w:t>
      </w:r>
    </w:p>
    <w:p>
      <w:pPr>
        <w:pStyle w:val="Heading3"/>
      </w:pPr>
      <w:r>
        <w:t xml:space="preserve">Step-by-Step (Trainee)</w:t>
      </w:r>
    </w:p>
    <w:p>
      <w:pPr>
        <w:spacing w:after="100" w:line="320" w:lineRule="auto"/>
        <w:ind w:left="720" w:hanging="360"/>
      </w:pPr>
      <w:r>
        <w:rPr>
          <w:b/>
          <w:bCs/>
        </w:rPr>
        <w:t xml:space="preserve">1.  </w:t>
      </w:r>
      <w:r>
        <w:t xml:space="preserve">For each device identified via Day 2's NSE scripts, run the CVE correlator:</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pPr>
              <w:spacing w:after="0" w:line="240" w:lineRule="auto"/>
            </w:pPr>
            <w:r>
              <w:rPr>
                <w:color w:val="333333"/>
                <w:sz w:val="18"/>
                <w:szCs w:val="18"/>
                <w:rFonts w:ascii="Consolas" w:eastAsia="Consolas" w:hAnsi="Consolas" w:cs="Consolas"/>
              </w:rPr>
              <w:t xml:space="preserve">python3 cve_correlator.py "Siemens S7-1200"</w:t>
            </w:r>
          </w:p>
          <w:p>
            <w:r>
              <w:rPr>
                <w:color w:val="333333"/>
                <w:sz w:val="18"/>
                <w:szCs w:val="18"/>
                <w:rFonts w:ascii="Consolas" w:eastAsia="Consolas" w:hAnsi="Consolas" w:cs="Consolas"/>
              </w:rPr>
              <w:t xml:space="preserve">python3 cve_correlator.py "ABB REL670"</w:t>
            </w:r>
          </w:p>
        </w:tc>
      </w:tr>
    </w:tbl>
    <w:p>
      <w:pPr>
        <w:spacing w:after="100" w:line="320" w:lineRule="auto"/>
        <w:ind w:left="720" w:hanging="360"/>
      </w:pPr>
      <w:r>
        <w:rPr>
          <w:b/>
          <w:bCs/>
        </w:rPr>
        <w:t xml:space="preserve">2.  </w:t>
      </w:r>
      <w:r>
        <w:t xml:space="preserve">For at least one device, also perform a live NVD search (nvd.nist.gov) to see the real interface and compare results against the offline dataset.</w:t>
      </w:r>
    </w:p>
    <w:p>
      <w:pPr>
        <w:spacing w:after="100" w:line="320" w:lineRule="auto"/>
        <w:ind w:left="720" w:hanging="360"/>
      </w:pPr>
      <w:r>
        <w:rPr>
          <w:b/>
          <w:bCs/>
        </w:rPr>
        <w:t xml:space="preserve">3.  </w:t>
      </w:r>
      <w:r>
        <w:t xml:space="preserve">For your three most significant findings, walk through the Section 5.4.2 OT-CVSS adjustment manually (not just the script's output) — show your Confidentiality/Integrity/Availability/Safety reasoning.</w:t>
      </w:r>
    </w:p>
    <w:p>
      <w:pPr>
        <w:pStyle w:val="Heading3"/>
      </w:pPr>
      <w:r>
        <w:t xml:space="preserve">Deliverable</w:t>
      </w:r>
    </w:p>
    <w:p>
      <w:pPr>
        <w:spacing w:after="140" w:line="320" w:lineRule="auto"/>
      </w:pPr>
      <w:r>
        <w:t xml:space="preserve">CVE correlation report for Palanca devices, with OT-adjusted CVSS scores and reasoning.</w:t>
      </w:r>
    </w:p>
    <w:p>
      <w:pPr>
        <w:pStyle w:val="Heading2"/>
      </w:pPr>
      <w:r>
        <w:t xml:space="preserve">Day 5 — Risk Assessment</w:t>
      </w:r>
    </w:p>
    <w:p>
      <w:pPr>
        <w:pStyle w:val="Heading3"/>
      </w:pPr>
      <w:r>
        <w:t xml:space="preserve">Objectives</w:t>
      </w:r>
    </w:p>
    <w:p>
      <w:pPr>
        <w:spacing w:after="100" w:line="320" w:lineRule="auto"/>
        <w:ind w:left="720" w:hanging="360"/>
      </w:pPr>
      <w:r>
        <w:t xml:space="preserve">•  Build the risk prioritisation matrix; design compensating controls for unpatchable devices.</w:t>
      </w:r>
    </w:p>
    <w:p>
      <w:pPr>
        <w:pStyle w:val="Heading3"/>
      </w:pPr>
      <w:r>
        <w:t xml:space="preserve">Step-by-Step (Trainee)</w:t>
      </w:r>
    </w:p>
    <w:p>
      <w:pPr>
        <w:spacing w:after="100" w:line="320" w:lineRule="auto"/>
        <w:ind w:left="720" w:hanging="360"/>
      </w:pPr>
      <w:r>
        <w:rPr>
          <w:b/>
          <w:bCs/>
        </w:rPr>
        <w:t xml:space="preserve">1.  </w:t>
      </w:r>
      <w:r>
        <w:t xml:space="preserve">Plot every Day 4 finding on the Impact vs. Exploitability matrix (Module 5, Section 5.5.1).</w:t>
      </w:r>
    </w:p>
    <w:p>
      <w:pPr>
        <w:spacing w:after="100" w:line="320" w:lineRule="auto"/>
        <w:ind w:left="720" w:hanging="360"/>
      </w:pPr>
      <w:r>
        <w:rPr>
          <w:b/>
          <w:bCs/>
        </w:rPr>
        <w:t xml:space="preserve">2.  </w:t>
      </w:r>
      <w:r>
        <w:t xml:space="preserve">Categorise each into a remediation phase (immediate / next maintenance window / accept risk with compensating control).</w:t>
      </w:r>
    </w:p>
    <w:p>
      <w:pPr>
        <w:spacing w:after="100" w:line="320" w:lineRule="auto"/>
        <w:ind w:left="720" w:hanging="360"/>
      </w:pPr>
      <w:r>
        <w:rPr>
          <w:b/>
          <w:bCs/>
        </w:rPr>
        <w:t xml:space="preserve">3.  </w:t>
      </w:r>
      <w:r>
        <w:t xml:space="preserve">For any finding on a device that cannot be patched (e.g. end-of-life firmware), design a specific compensating control (Section 5.7.2) and state how you would validate it actually works (Section 5.7.3).</w:t>
      </w:r>
    </w:p>
    <w:p>
      <w:pPr>
        <w:pStyle w:val="Heading3"/>
      </w:pPr>
      <w:r>
        <w:t xml:space="preserve">Deliverable</w:t>
      </w:r>
    </w:p>
    <w:p>
      <w:pPr>
        <w:spacing w:after="140" w:line="320" w:lineRule="auto"/>
      </w:pPr>
      <w:r>
        <w:t xml:space="preserve">Risk assessment with prioritised remediation plan, including at least one documented compensating control.</w:t>
      </w:r>
    </w:p>
    <w:p>
      <w:pPr>
        <w:pStyle w:val="Heading2"/>
      </w:pPr>
      <w:r>
        <w:t xml:space="preserve">Day 6 — Report Writing</w:t>
      </w:r>
    </w:p>
    <w:p>
      <w:pPr>
        <w:pStyle w:val="Heading3"/>
      </w:pPr>
      <w:r>
        <w:t xml:space="preserve">Objectives</w:t>
      </w:r>
    </w:p>
    <w:p>
      <w:pPr>
        <w:spacing w:after="100" w:line="320" w:lineRule="auto"/>
        <w:ind w:left="720" w:hanging="360"/>
      </w:pPr>
      <w:r>
        <w:t xml:space="preserve">•  Write a professional, IEC 62443-4-2-aligned vulnerability assessment report.</w:t>
      </w:r>
    </w:p>
    <w:p>
      <w:pPr>
        <w:pStyle w:val="Heading3"/>
      </w:pPr>
      <w:r>
        <w:t xml:space="preserve">Step-by-Step (Trainee)</w:t>
      </w:r>
    </w:p>
    <w:p>
      <w:pPr>
        <w:spacing w:after="100" w:line="320" w:lineRule="auto"/>
        <w:ind w:left="720" w:hanging="360"/>
      </w:pPr>
      <w:r>
        <w:rPr>
          <w:b/>
          <w:bCs/>
        </w:rPr>
        <w:t xml:space="preserve">1.  </w:t>
      </w:r>
      <w:r>
        <w:t xml:space="preserve">Follow the report structure from Module 5, Section 5.6.1 (executive summary through remediation roadmap).</w:t>
      </w:r>
    </w:p>
    <w:p>
      <w:pPr>
        <w:spacing w:after="100" w:line="320" w:lineRule="auto"/>
        <w:ind w:left="720" w:hanging="360"/>
      </w:pPr>
      <w:r>
        <w:rPr>
          <w:b/>
          <w:bCs/>
        </w:rPr>
        <w:t xml:space="preserve">2.  </w:t>
      </w:r>
      <w:r>
        <w:t xml:space="preserve">For every finding, apply the four-question test from Section 5.6.2: what's wrong, how bad, how do you know, what do we do.</w:t>
      </w:r>
    </w:p>
    <w:p>
      <w:pPr>
        <w:spacing w:after="100" w:line="320" w:lineRule="auto"/>
        <w:ind w:left="720" w:hanging="360"/>
      </w:pPr>
      <w:r>
        <w:rPr>
          <w:b/>
          <w:bCs/>
        </w:rPr>
        <w:t xml:space="preserve">3.  </w:t>
      </w:r>
      <w:r>
        <w:t xml:space="preserve">Have a peer review your executive summary specifically — could a plant manager understand it without reading the technical findings?</w:t>
      </w:r>
    </w:p>
    <w:p>
      <w:pPr>
        <w:pStyle w:val="Heading3"/>
      </w:pPr>
      <w:r>
        <w:t xml:space="preserve">Deliverable</w:t>
      </w:r>
    </w:p>
    <w:p>
      <w:pPr>
        <w:spacing w:after="140" w:line="320" w:lineRule="auto"/>
      </w:pPr>
      <w:r>
        <w:t xml:space="preserve">Complete vulnerability assessment report.</w:t>
      </w:r>
    </w:p>
    <w:p>
      <w:pPr>
        <w:pStyle w:val="Heading2"/>
      </w:pPr>
      <w:r>
        <w:t xml:space="preserve">Day 7 — Assessment Day</w:t>
      </w:r>
    </w:p>
    <w:p>
      <w:pPr>
        <w:spacing w:after="140" w:line="320" w:lineRule="auto"/>
      </w:pPr>
      <w:r>
        <w:t xml:space="preserve">Trainees submit all lab deliverables, present key findings to the cohort (simulating a stakeholder briefing), demonstrate the Python scanner live against the lab environment, and sit the 90-minute Knowledge Check.</w:t>
      </w:r>
    </w:p>
    <w:sectPr>
      <w:headerReference w:type="default" r:id="rId7"/>
      <w:footerReference w:type="default" r:id="rId8"/>
      <w:pgSz w:w="12240" w:h="15840" w:orient="portrait"/>
      <w:pgMar w:top="12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pBdr>
      <w:spacing w:before="80"/>
      <w:jc w:val="center"/>
    </w:pPr>
    <w:r>
      <w:rPr>
        <w:rFonts w:ascii="Aptos" w:cs="Aptos" w:eastAsia="Aptos" w:hAnsi="Aptos"/>
        <w:color w:val="415A77"/>
        <w:sz w:val="16"/>
        <w:szCs w:val="16"/>
      </w:rPr>
      <w:t xml:space="preserve">Global Oceon Engineers Nigeria Limited  |  Confidential  |  Page </w:t>
    </w:r>
    <w:r>
      <w:rPr>
        <w:rFonts w:ascii="Aptos" w:cs="Aptos" w:eastAsia="Aptos" w:hAnsi="Aptos"/>
        <w:color w:val="415A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pBdr>
      <w:spacing w:after="80"/>
    </w:pPr>
    <w:r>
      <w:drawing>
        <wp:inline distT="0" distB="0" distL="0" distR="0">
          <wp:extent cx="76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190500"/>
                  </a:xfrm>
                  <a:prstGeom prst="rect">
                    <a:avLst/>
                  </a:prstGeom>
                </pic:spPr>
              </pic:pic>
            </a:graphicData>
          </a:graphic>
        </wp:inline>
      </w:drawing>
    </w:r>
    <w:r>
      <w:rPr>
        <w:rFonts w:ascii="Aptos" w:cs="Aptos" w:eastAsia="Aptos" w:hAnsi="Aptos"/>
        <w:i/>
        <w:iCs/>
        <w:color w:val="2E75B6"/>
        <w:sz w:val="16"/>
        <w:szCs w:val="16"/>
      </w:rPr>
      <w:t xml:space="preserve">    Module 5 | Cyber-Energy Security for Critical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6f73650cdb7df83900964e216a8be089846417.png"/><Relationship Id="rId10" Type="http://schemas.openxmlformats.org/officeDocument/2006/relationships/image" Target="media/d9518fd12c66384043dc9d350da4383df411936a.png"/><Relationship Id="rId11" Type="http://schemas.openxmlformats.org/officeDocument/2006/relationships/image" Target="media/aeb329e9ef1644d465de5ada0f374392d5cd80c4.png"/><Relationship Id="rId12" Type="http://schemas.openxmlformats.org/officeDocument/2006/relationships/image" Target="media/9ecde65aa02f9ed21ed8ebd5869296882183d4f9.png"/><Relationship Id="rId13" Type="http://schemas.openxmlformats.org/officeDocument/2006/relationships/image" Target="media/6ead2123f04d4960e2c40c838a6eaa3e6d741c52.png"/><Relationship Id="rId14" Type="http://schemas.openxmlformats.org/officeDocument/2006/relationships/image" Target="media/0ed9e1d400226db3f5b48b5345641cc5ff06e0ca.png"/><Relationship Id="rId15" Type="http://schemas.openxmlformats.org/officeDocument/2006/relationships/image" Target="media/812d2d06ad505fe981e39496719b7204fa87b227.png"/><Relationship Id="rId16" Type="http://schemas.openxmlformats.org/officeDocument/2006/relationships/image" Target="media/86649d434baecc9bee5ecbfea4f9b7f01acb58ab.png"/><Relationship Id="rId17" Type="http://schemas.openxmlformats.org/officeDocument/2006/relationships/image" Target="media/f077f6eed2919bdb7b2e8fc4c1107d2376c56a29.png"/><Relationship Id="rId18"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30f19e150fb7d01f51a65e328e502c1f493f39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2026-04-12T21:39:24.365Z</dcterms:created>
  <dcterms:modified xsi:type="dcterms:W3CDTF">2026-04-12T21:39:24.369Z</dcterms:modified>
</cp:coreProperties>
</file>

<file path=docProps/custom.xml><?xml version="1.0" encoding="utf-8"?>
<Properties xmlns="http://schemas.openxmlformats.org/officeDocument/2006/custom-properties" xmlns:vt="http://schemas.openxmlformats.org/officeDocument/2006/docPropsVTypes"/>
</file>