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drawing>
          <wp:inline distT="0" distB="0" distL="0" distR="0">
            <wp:extent cx="3238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762000"/>
                    </a:xfrm>
                    <a:prstGeom prst="rect">
                      <a:avLst/>
                    </a:prstGeom>
                  </pic:spPr>
                </pic:pic>
              </a:graphicData>
            </a:graphic>
          </wp:inline>
        </w:drawing>
      </w:r>
    </w:p>
    <w:p>
      <w:pPr>
        <w:spacing w:before="200"/>
        <w:jc w:val="center"/>
      </w:pPr>
      <w:r>
        <w:rPr>
          <w:rFonts w:ascii="Aptos" w:cs="Aptos" w:eastAsia="Aptos" w:hAnsi="Aptos"/>
          <w:b/>
          <w:bCs/>
          <w:color w:val="1F4E79"/>
          <w:sz w:val="32"/>
          <w:szCs w:val="32"/>
        </w:rPr>
        <w:t xml:space="preserve">CYBER-ENERGY SECURITY FOR</w:t>
      </w:r>
      <w:r>
        <w:br/>
        <w:t xml:space="preserve"/>
      </w:r>
      <w:r>
        <w:rPr>
          <w:rFonts w:ascii="Aptos" w:cs="Aptos" w:eastAsia="Aptos" w:hAnsi="Aptos"/>
          <w:b/>
          <w:bCs/>
          <w:color w:val="1F4E79"/>
          <w:sz w:val="32"/>
          <w:szCs w:val="32"/>
        </w:rPr>
        <w:t xml:space="preserve">CRITICAL INFRASTRUCTURE</w:t>
      </w:r>
    </w:p>
    <w:p>
      <w:pPr>
        <w:spacing w:before="200"/>
        <w:jc w:val="center"/>
      </w:pPr>
      <w:r>
        <w:drawing>
          <wp:inline distT="0" distB="0" distL="0" distR="0">
            <wp:extent cx="9525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52500" cy="381000"/>
                    </a:xfrm>
                    <a:prstGeom prst="rect">
                      <a:avLst/>
                    </a:prstGeom>
                  </pic:spPr>
                </pic:pic>
              </a:graphicData>
            </a:graphic>
          </wp:inline>
        </w:drawing>
      </w:r>
    </w:p>
    <w:p>
      <w:pPr>
        <w:spacing w:before="200"/>
        <w:jc w:val="center"/>
      </w:pPr>
      <w:r>
        <w:rPr>
          <w:rFonts w:ascii="Aptos" w:cs="Aptos" w:eastAsia="Aptos" w:hAnsi="Aptos"/>
          <w:b/>
          <w:bCs/>
          <w:color w:val="D4A853"/>
          <w:sz w:val="30"/>
          <w:szCs w:val="30"/>
        </w:rPr>
        <w:t>MODULE 6 — LAB RUN BOOK</w:t>
      </w:r>
    </w:p>
    <w:p>
      <w:pPr>
        <w:jc w:val="center"/>
      </w:pPr>
      <w:r>
        <w:rPr>
          <w:rFonts w:ascii="Aptos" w:cs="Aptos" w:eastAsia="Aptos" w:hAnsi="Aptos"/>
          <w:b/>
          <w:bCs/>
          <w:color w:val="2E75B6"/>
          <w:sz w:val="26"/>
          <w:szCs w:val="26"/>
        </w:rPr>
        <w:t>INCIDENT RESPONSE &amp; HARDENING</w:t>
      </w:r>
    </w:p>
    <w:p>
      <w:pPr>
        <w:jc w:val="center"/>
      </w:pPr>
      <w:r>
        <w:rPr>
          <w:rFonts w:ascii="Aptos" w:cs="Aptos" w:eastAsia="Aptos" w:hAnsi="Aptos"/>
          <w:i/>
          <w:iCs/>
          <w:color w:val="415A77"/>
          <w:sz w:val="20"/>
          <w:szCs w:val="20"/>
        </w:rPr>
        <w:t>Instructor &amp; Trainee Practical Guide — 7 Lab Days</w:t>
      </w:r>
    </w:p>
    <w:p>
      <w:pPr>
        <w:jc w:val="center"/>
      </w:pPr>
      <w:r>
        <w:rPr>
          <w:rFonts w:ascii="Aptos" w:cs="Aptos" w:eastAsia="Aptos" w:hAnsi="Aptos"/>
          <w:i/>
          <w:iCs/>
          <w:color w:val="415A77"/>
          <w:sz w:val="20"/>
          <w:szCs w:val="20"/>
        </w:rPr>
        <w:t>(Palanca Offshore Platform — 5.5kV/11kV SCADA Network)</w:t>
      </w:r>
    </w:p>
    <w:p>
      <w:pPr>
        <w:spacing w:before="200"/>
        <w:jc w:val="center"/>
      </w:pPr>
      <w:r>
        <w:drawing>
          <wp:inline distT="0" distB="0" distL="0" distR="0">
            <wp:extent cx="571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 cy="285750"/>
                    </a:xfrm>
                    <a:prstGeom prst="rect">
                      <a:avLst/>
                    </a:prstGeom>
                  </pic:spPr>
                </pic:pic>
              </a:graphicData>
            </a:graphic>
          </wp:inline>
        </w:drawing>
      </w:r>
    </w:p>
    <w:p>
      <w:pPr>
        <w:spacing w:before="200"/>
        <w:jc w:val="center"/>
      </w:pPr>
      <w:r>
        <w:rPr>
          <w:rFonts w:ascii="Aptos" w:cs="Aptos" w:eastAsia="Aptos" w:hAnsi="Aptos"/>
          <w:color w:val="2E75B6"/>
          <w:sz w:val="20"/>
          <w:szCs w:val="20"/>
        </w:rPr>
        <w:t xml:space="preserve">NC-HCD Digitization &amp; Digitalization Programme</w:t>
      </w:r>
    </w:p>
    <w:p>
      <w:pPr>
        <w:jc w:val="center"/>
      </w:pPr>
      <w:r>
        <w:rPr>
          <w:rFonts w:ascii="Aptos" w:cs="Aptos" w:eastAsia="Aptos" w:hAnsi="Aptos"/>
          <w:b/>
          <w:bCs/>
          <w:color w:val="1F4E79"/>
          <w:sz w:val="20"/>
          <w:szCs w:val="20"/>
        </w:rPr>
        <w:t xml:space="preserve">Global Oceon Engineers Nigeria Limited</w:t>
      </w:r>
    </w:p>
    <w:p>
      <w:pPr>
        <w:jc w:val="center"/>
      </w:pPr>
      <w:r>
        <w:rPr>
          <w:rFonts w:ascii="Aptos" w:cs="Aptos" w:eastAsia="Aptos" w:hAnsi="Aptos"/>
          <w:color w:val="AAAAAA"/>
          <w:sz w:val="18"/>
          <w:szCs w:val="18"/>
        </w:rPr>
        <w:t xml:space="preserve">In Partnership with Subsea7 · Petrolog Group</w:t>
      </w:r>
    </w:p>
    <w:p>
      <w:pPr>
        <w:sectPr>
          <w:pgSz w:w="12240" w:h="15840" w:orient="portrait"/>
          <w:pgMar w:top="1200" w:right="1200" w:bottom="900" w:left="1200" w:header="708" w:footer="708" w:gutter="0"/>
          <w:pgNumType/>
          <w:titlePg/>
          <w:docGrid w:linePitch="360"/>
        </w:sectPr>
      </w:pPr>
    </w:p>
    <w:p>
      <w:pPr>
        <w:pStyle w:val="Heading2"/>
        <w:spacing w:after="120" w:before="280"/>
      </w:pPr>
      <w:r>
        <w:rPr>
          <w:rFonts w:ascii="Aptos" w:cs="Aptos" w:eastAsia="Aptos" w:hAnsi="Aptos"/>
          <w:b/>
          <w:bCs/>
          <w:color w:val="1F4E79"/>
          <w:sz w:val="24"/>
          <w:szCs w:val="24"/>
        </w:rPr>
        <w:t xml:space="preserve">Notice &amp; Disclaimer</w:t>
      </w:r>
    </w:p>
    <w:p>
      <w:pPr>
        <w:spacing w:after="120"/>
      </w:pPr>
      <w:r>
        <w:rPr>
          <w:rFonts w:ascii="Aptos" w:cs="Aptos" w:eastAsia="Aptos" w:hAnsi="Aptos"/>
          <w:color w:val="333333"/>
          <w:sz w:val="20"/>
          <w:szCs w:val="20"/>
        </w:rPr>
        <w:t xml:space="preserve">This is an electronically generated document, which has been reviewed and approved in accordance with the OCEON Management System. An audit trail of review and approval is available within the electronic system. The screen version of this document is the CONTROLLED COPY at all times. When printed, it is considered a FOR INFORMATION ONLY copy, and it is the holder's responsibility that he / she holds the latest valid version.</w:t>
      </w:r>
    </w:p>
    <w:p>
      <w:pPr>
        <w:spacing w:after="120"/>
      </w:pPr>
      <w:r>
        <w:rPr>
          <w:rFonts w:ascii="Aptos" w:cs="Aptos" w:eastAsia="Aptos" w:hAnsi="Aptos"/>
          <w:color w:val="333333"/>
          <w:sz w:val="20"/>
          <w:szCs w:val="20"/>
        </w:rPr>
        <w:t xml:space="preserve">OCEON or a subsidiary thereof, Copyright 2025 and design right reserved. Copying and/or disclosure of the confidential information contained herein is prohibited without written permission of the proprietor.</w:t>
      </w:r>
    </w:p>
    <w:p>
      <w:r>
        <w:br w:type="page"/>
      </w:r>
    </w:p>
    <w:p>
      <w:pPr>
        <w:pStyle w:val="Heading2"/>
      </w:pPr>
      <w:r>
        <w:t xml:space="preserve">Purpose of This Run Book</w:t>
      </w:r>
    </w:p>
    <w:p>
      <w:pPr>
        <w:spacing w:after="140" w:line="320" w:lineRule="auto"/>
      </w:pPr>
      <w:r>
        <w:t xml:space="preserve">This run book is the step-by-step companion to the 7-day hands-on lab in Module 6, Section 6.9. As the course capstone, this module does not stand up new infrastructure — each hands-on day reuses an environment or tool from a previous module, tied together by the accompanying Module 6 Capstone Lab Kit.</w:t>
      </w:r>
    </w:p>
    <w:p>
      <w:pPr>
        <w:pStyle w:val="Heading2"/>
      </w:pPr>
      <w:r>
        <w:t xml:space="preserve">Day 1 — IR Playbook Development</w:t>
      </w:r>
    </w:p>
    <w:p>
      <w:pPr>
        <w:pStyle w:val="Heading3"/>
      </w:pPr>
      <w:r>
        <w:t xml:space="preserve">Objectives</w:t>
      </w:r>
    </w:p>
    <w:p>
      <w:pPr>
        <w:spacing w:after="100" w:line="320" w:lineRule="auto"/>
        <w:ind w:left="720" w:hanging="360"/>
      </w:pPr>
      <w:r>
        <w:t xml:space="preserve">•  Write playbooks for 3 Palanca scenarios using the standard playbook structure (Section 6.2.1).</w:t>
      </w:r>
    </w:p>
    <w:p>
      <w:pPr>
        <w:pStyle w:val="Heading3"/>
      </w:pPr>
      <w:r>
        <w:t xml:space="preserve">Step-by-Step (Trainee)</w:t>
      </w:r>
    </w:p>
    <w:p>
      <w:pPr>
        <w:spacing w:after="100" w:line="320" w:lineRule="auto"/>
        <w:ind w:left="720" w:hanging="360"/>
      </w:pPr>
      <w:r>
        <w:rPr>
          <w:b/>
          <w:bCs/>
        </w:rPr>
        <w:t xml:space="preserve">1.  </w:t>
      </w:r>
      <w:r>
        <w:t xml:space="preserve">Write a complete playbook for each of: unauthorised Modbus write (Section 6.2.2), ransomware in the OT DMZ (Section 6.2.3), and insider threat (Section 6.2.4).</w:t>
      </w:r>
    </w:p>
    <w:p>
      <w:pPr>
        <w:spacing w:after="100" w:line="320" w:lineRule="auto"/>
        <w:ind w:left="720" w:hanging="360"/>
      </w:pPr>
      <w:r>
        <w:rPr>
          <w:b/>
          <w:bCs/>
        </w:rPr>
        <w:t xml:space="preserve">2.  </w:t>
      </w:r>
      <w:r>
        <w:t xml:space="preserve">Every playbook must include all standard components from Section 6.2.1 — do not skip the communication or post-incident sections just because they feel less technical.</w:t>
      </w:r>
    </w:p>
    <w:p>
      <w:pPr>
        <w:pStyle w:val="Heading3"/>
      </w:pPr>
      <w:r>
        <w:t xml:space="preserve">Deliverable</w:t>
      </w:r>
    </w:p>
    <w:p>
      <w:pPr>
        <w:spacing w:after="140" w:line="320" w:lineRule="auto"/>
      </w:pPr>
      <w:r>
        <w:t xml:space="preserve">Three completed IR playbooks.</w:t>
      </w:r>
    </w:p>
    <w:p>
      <w:pPr>
        <w:pStyle w:val="Heading2"/>
      </w:pPr>
      <w:r>
        <w:t xml:space="preserve">Day 2 — Tabletop Exercise, Session 1</w:t>
      </w:r>
    </w:p>
    <w:tbl>
      <w:tblPr>
        <w:tblW w:w="9840" w:type="dxa"/>
      </w:tblPr>
      <w:tblGrid>
        <w:gridCol w:w="9840"/>
      </w:tblGrid>
      <w:tr>
        <w:tc>
          <w:tcPr>
            <w:tcW w:w="9840" w:type="dxa"/>
            <w:tcBorders>
              <w:top w:val="single" w:sz="4" w:color="2E75B6" w:space="0"/>
              <w:left w:val="single" w:sz="1" w:color="CCCCCC" w:space="0"/>
              <w:bottom w:val="single" w:sz="1" w:color="CCCCCC" w:space="0"/>
              <w:right w:val="single" w:sz="1" w:color="CCCCCC" w:space="0"/>
            </w:tcBorders>
            <w:shd w:val="clear" w:color="auto" w:fill="F2F7FA"/>
            <w:tcMar>
              <w:top w:w="120" w:type="dxa"/>
              <w:left w:w="200" w:type="dxa"/>
              <w:bottom w:w="120" w:type="dxa"/>
              <w:right w:w="200" w:type="dxa"/>
            </w:tcMar>
          </w:tcPr>
          <w:p>
            <w:pPr>
              <w:spacing w:after="30" w:line="320" w:lineRule="auto"/>
            </w:pPr>
            <w:r>
              <w:rPr>
                <w:b/>
                <w:bCs/>
                <w:color w:val="1F4E79"/>
                <w:sz w:val="21"/>
                <w:szCs w:val="21"/>
              </w:rPr>
              <w:t xml:space="preserve">Materials:</w:t>
            </w:r>
          </w:p>
          <w:p>
            <w:r>
              <w:t xml:space="preserve">Use Module_6_Tabletop_Facilitator_Guide.docx, Exercise 1 (Coordinated Attack on Palanca).</w:t>
            </w:r>
          </w:p>
        </w:tc>
      </w:tr>
    </w:tbl>
    <w:p>
      <w:pPr>
        <w:pStyle w:val="Heading3"/>
      </w:pPr>
      <w:r>
        <w:t xml:space="preserve">Objectives</w:t>
      </w:r>
    </w:p>
    <w:p>
      <w:pPr>
        <w:spacing w:after="100" w:line="320" w:lineRule="auto"/>
        <w:ind w:left="720" w:hanging="360"/>
      </w:pPr>
      <w:r>
        <w:t xml:space="preserve">•  Execute the full-cohort tabletop exercise with defined roles.</w:t>
      </w:r>
    </w:p>
    <w:p>
      <w:pPr>
        <w:pStyle w:val="Heading3"/>
      </w:pPr>
      <w:r>
        <w:t xml:space="preserve">Step-by-Step (Facilitator)</w:t>
      </w:r>
    </w:p>
    <w:p>
      <w:pPr>
        <w:spacing w:after="100" w:line="320" w:lineRule="auto"/>
        <w:ind w:left="720" w:hanging="360"/>
      </w:pPr>
      <w:r>
        <w:rPr>
          <w:b/>
          <w:bCs/>
        </w:rPr>
        <w:t xml:space="preserve">1.  </w:t>
      </w:r>
      <w:r>
        <w:t xml:space="preserve">Assign roles: Incident Commander, OT Engineer, SOC Analyst, Communications Lead (one set per team).</w:t>
      </w:r>
    </w:p>
    <w:p>
      <w:pPr>
        <w:spacing w:after="100" w:line="320" w:lineRule="auto"/>
        <w:ind w:left="720" w:hanging="360"/>
      </w:pPr>
      <w:r>
        <w:rPr>
          <w:b/>
          <w:bCs/>
        </w:rPr>
        <w:t xml:space="preserve">2.  </w:t>
      </w:r>
      <w:r>
        <w:t xml:space="preserve">Read each inject at its stated time. Do not reveal later injects early.</w:t>
      </w:r>
    </w:p>
    <w:p>
      <w:pPr>
        <w:spacing w:after="100" w:line="320" w:lineRule="auto"/>
        <w:ind w:left="720" w:hanging="360"/>
      </w:pPr>
      <w:r>
        <w:rPr>
          <w:b/>
          <w:bCs/>
        </w:rPr>
        <w:t xml:space="preserve">3.  </w:t>
      </w:r>
      <w:r>
        <w:t xml:space="preserve">After the final inject, run the Discussion Questions from the facilitator guide.</w:t>
      </w:r>
    </w:p>
    <w:p>
      <w:pPr>
        <w:pStyle w:val="Heading3"/>
      </w:pPr>
      <w:r>
        <w:t xml:space="preserve">Deliverable</w:t>
      </w:r>
    </w:p>
    <w:p>
      <w:pPr>
        <w:spacing w:after="140" w:line="320" w:lineRule="auto"/>
      </w:pPr>
      <w:r>
        <w:t xml:space="preserve">Individual response notes and team decision log.</w:t>
      </w:r>
    </w:p>
    <w:p>
      <w:pPr>
        <w:pStyle w:val="Heading2"/>
      </w:pPr>
      <w:r>
        <w:t xml:space="preserve">Day 3 — Tabletop Exercise, Session 2</w:t>
      </w:r>
    </w:p>
    <w:tbl>
      <w:tblPr>
        <w:tblW w:w="9840" w:type="dxa"/>
      </w:tblPr>
      <w:tblGrid>
        <w:gridCol w:w="9840"/>
      </w:tblGrid>
      <w:tr>
        <w:tc>
          <w:tcPr>
            <w:tcW w:w="9840" w:type="dxa"/>
            <w:tcBorders>
              <w:top w:val="single" w:sz="4" w:color="2E75B6" w:space="0"/>
              <w:left w:val="single" w:sz="1" w:color="CCCCCC" w:space="0"/>
              <w:bottom w:val="single" w:sz="1" w:color="CCCCCC" w:space="0"/>
              <w:right w:val="single" w:sz="1" w:color="CCCCCC" w:space="0"/>
            </w:tcBorders>
            <w:shd w:val="clear" w:color="auto" w:fill="F2F7FA"/>
            <w:tcMar>
              <w:top w:w="120" w:type="dxa"/>
              <w:left w:w="200" w:type="dxa"/>
              <w:bottom w:w="120" w:type="dxa"/>
              <w:right w:w="200" w:type="dxa"/>
            </w:tcMar>
          </w:tcPr>
          <w:p>
            <w:pPr>
              <w:spacing w:after="30" w:line="320" w:lineRule="auto"/>
            </w:pPr>
            <w:r>
              <w:rPr>
                <w:b/>
                <w:bCs/>
                <w:color w:val="1F4E79"/>
                <w:sz w:val="21"/>
                <w:szCs w:val="21"/>
              </w:rPr>
              <w:t xml:space="preserve">Materials:</w:t>
            </w:r>
          </w:p>
          <w:p>
            <w:r>
              <w:t xml:space="preserve">Use Module_6_Tabletop_Facilitator_Guide.docx, Exercise 2 (Ransomware + Physical Intrusion).</w:t>
            </w:r>
          </w:p>
        </w:tc>
      </w:tr>
    </w:tbl>
    <w:p>
      <w:pPr>
        <w:pStyle w:val="Heading3"/>
      </w:pPr>
      <w:r>
        <w:t xml:space="preserve">Objectives</w:t>
      </w:r>
    </w:p>
    <w:p>
      <w:pPr>
        <w:spacing w:after="100" w:line="320" w:lineRule="auto"/>
        <w:ind w:left="720" w:hanging="360"/>
      </w:pPr>
      <w:r>
        <w:t xml:space="preserve">•  Run a second, differently-shaped tabletop; conduct a formal debrief.</w:t>
      </w:r>
    </w:p>
    <w:p>
      <w:pPr>
        <w:pStyle w:val="Heading3"/>
      </w:pPr>
      <w:r>
        <w:t xml:space="preserve">Step-by-Step (Facilitator)</w:t>
      </w:r>
    </w:p>
    <w:p>
      <w:pPr>
        <w:spacing w:after="100" w:line="320" w:lineRule="auto"/>
        <w:ind w:left="720" w:hanging="360"/>
      </w:pPr>
      <w:r>
        <w:rPr>
          <w:b/>
          <w:bCs/>
        </w:rPr>
        <w:t xml:space="preserve">1.  </w:t>
      </w:r>
      <w:r>
        <w:t xml:space="preserve">Reassign roles so no trainee repeats their Day 2 role.</w:t>
      </w:r>
    </w:p>
    <w:p>
      <w:pPr>
        <w:spacing w:after="100" w:line="320" w:lineRule="auto"/>
        <w:ind w:left="720" w:hanging="360"/>
      </w:pPr>
      <w:r>
        <w:rPr>
          <w:b/>
          <w:bCs/>
        </w:rPr>
        <w:t xml:space="preserve">2.  </w:t>
      </w:r>
      <w:r>
        <w:t xml:space="preserve">Run the exercise as in Day 2.</w:t>
      </w:r>
    </w:p>
    <w:p>
      <w:pPr>
        <w:spacing w:after="100" w:line="320" w:lineRule="auto"/>
        <w:ind w:left="720" w:hanging="360"/>
      </w:pPr>
      <w:r>
        <w:rPr>
          <w:b/>
          <w:bCs/>
        </w:rPr>
        <w:t xml:space="preserve">3.  </w:t>
      </w:r>
      <w:r>
        <w:t xml:space="preserve">Facilitate a structured debrief using Section 6.3.3 (Post-Exercise Review): what worked, what didn't, what changes.</w:t>
      </w:r>
    </w:p>
    <w:p>
      <w:pPr>
        <w:pStyle w:val="Heading3"/>
      </w:pPr>
      <w:r>
        <w:t xml:space="preserve">Deliverable</w:t>
      </w:r>
    </w:p>
    <w:p>
      <w:pPr>
        <w:spacing w:after="140" w:line="320" w:lineRule="auto"/>
      </w:pPr>
      <w:r>
        <w:t xml:space="preserve">Tabletop exercise report with improvement recommendations.</w:t>
      </w:r>
    </w:p>
    <w:p>
      <w:pPr>
        <w:pStyle w:val="Heading2"/>
      </w:pPr>
      <w:r>
        <w:t xml:space="preserve">Day 4 — OT Forensics Lab</w:t>
      </w:r>
    </w:p>
    <w:tbl>
      <w:tblPr>
        <w:tblW w:w="9840" w:type="dxa"/>
      </w:tblPr>
      <w:tblGrid>
        <w:gridCol w:w="9840"/>
      </w:tblGrid>
      <w:tr>
        <w:tc>
          <w:tcPr>
            <w:tcW w:w="9840" w:type="dxa"/>
            <w:tcBorders>
              <w:top w:val="single" w:sz="4" w:color="2E75B6" w:space="0"/>
              <w:left w:val="single" w:sz="1" w:color="CCCCCC" w:space="0"/>
              <w:bottom w:val="single" w:sz="1" w:color="CCCCCC" w:space="0"/>
              <w:right w:val="single" w:sz="1" w:color="CCCCCC" w:space="0"/>
            </w:tcBorders>
            <w:shd w:val="clear" w:color="auto" w:fill="F2F7FA"/>
            <w:tcMar>
              <w:top w:w="120" w:type="dxa"/>
              <w:left w:w="200" w:type="dxa"/>
              <w:bottom w:w="120" w:type="dxa"/>
              <w:right w:w="200" w:type="dxa"/>
            </w:tcMar>
          </w:tcPr>
          <w:p>
            <w:pPr>
              <w:spacing w:after="30" w:line="320" w:lineRule="auto"/>
            </w:pPr>
            <w:r>
              <w:rPr>
                <w:b/>
                <w:bCs/>
                <w:color w:val="1F4E79"/>
                <w:sz w:val="21"/>
                <w:szCs w:val="21"/>
              </w:rPr>
              <w:t xml:space="preserve">Setup:</w:t>
            </w:r>
          </w:p>
          <w:p>
            <w:r>
              <w:t xml:space="preserve">Regenerate an attack-challenge capture using Module 4's attack_pcap_generator.py (see Module 6 Capstone Kit README for the exact command). Use plc_integrity_check.py from the Capstone Kit for the PLC verification step.</w:t>
            </w:r>
          </w:p>
        </w:tc>
      </w:tr>
    </w:tbl>
    <w:p>
      <w:pPr>
        <w:pStyle w:val="Heading3"/>
      </w:pPr>
      <w:r>
        <w:t xml:space="preserve">Objectives</w:t>
      </w:r>
    </w:p>
    <w:p>
      <w:pPr>
        <w:spacing w:after="100" w:line="320" w:lineRule="auto"/>
        <w:ind w:left="720" w:hanging="360"/>
      </w:pPr>
      <w:r>
        <w:t xml:space="preserve">•  Reconstruct an attack timeline from a capture; verify PLC program integrity.</w:t>
      </w:r>
    </w:p>
    <w:p>
      <w:pPr>
        <w:pStyle w:val="Heading3"/>
      </w:pPr>
      <w:r>
        <w:t xml:space="preserve">Step-by-Step (Trainee)</w:t>
      </w:r>
    </w:p>
    <w:p>
      <w:pPr>
        <w:spacing w:after="100" w:line="320" w:lineRule="auto"/>
        <w:ind w:left="720" w:hanging="360"/>
      </w:pPr>
      <w:r>
        <w:rPr>
          <w:b/>
          <w:bCs/>
        </w:rPr>
        <w:t xml:space="preserve">1.  </w:t>
      </w:r>
      <w:r>
        <w:t xml:space="preserve">Analyse the capture using your Module 4 skills: identify attack timeline, affected devices, commands sent, and any data exfiltrated.</w:t>
      </w:r>
    </w:p>
    <w:p>
      <w:pPr>
        <w:spacing w:after="100" w:line="320" w:lineRule="auto"/>
        <w:ind w:left="720" w:hanging="360"/>
      </w:pPr>
      <w:r>
        <w:rPr>
          <w:b/>
          <w:bCs/>
        </w:rPr>
        <w:t xml:space="preserve">2.  </w:t>
      </w:r>
      <w:r>
        <w:t xml:space="preserve">Register a baseline for PLC-MAIN-01 using a sample program file, then check a deliberately modified copy against it:</w:t>
      </w:r>
    </w:p>
    <w:tbl>
      <w:tblPr>
        <w:tblW w:w="9840" w:type="dxa"/>
      </w:tblPr>
      <w:tblGrid>
        <w:gridCol w:w="9840"/>
      </w:tblGrid>
      <w:tr>
        <w:tc>
          <w:tcPr>
            <w:tcW w:w="9840" w:type="dxa"/>
            <w:tcBorders>
              <w:top w:val="single" w:sz="1" w:color="CCCCCC" w:space="0"/>
              <w:left w:val="single" w:sz="1" w:color="CCCCCC" w:space="0"/>
              <w:bottom w:val="single" w:sz="1" w:color="CCCCCC" w:space="0"/>
              <w:right w:val="single" w:sz="1" w:color="CCCCCC" w:space="0"/>
            </w:tcBorders>
            <w:shd w:val="clear" w:color="auto" w:fill="F5F5F5"/>
            <w:tcMar>
              <w:top w:w="100" w:type="dxa"/>
              <w:left w:w="200" w:type="dxa"/>
              <w:bottom w:w="100" w:type="dxa"/>
              <w:right w:w="200" w:type="dxa"/>
            </w:tcMar>
          </w:tcPr>
          <w:p>
            <w:pPr>
              <w:spacing w:after="0" w:line="240" w:lineRule="auto"/>
            </w:pPr>
            <w:r>
              <w:rPr>
                <w:color w:val="333333"/>
                <w:sz w:val="18"/>
                <w:szCs w:val="18"/>
                <w:rFonts w:ascii="Consolas" w:eastAsia="Consolas" w:hAnsi="Consolas" w:cs="Consolas"/>
              </w:rPr>
              <w:t xml:space="preserve">python3 plc_integrity_check.py --register PLC-MAIN-01 plc_main_baseline.st \</w:t>
            </w:r>
          </w:p>
          <w:p>
            <w:pPr>
              <w:spacing w:after="0" w:line="240" w:lineRule="auto"/>
            </w:pPr>
            <w:r>
              <w:rPr>
                <w:color w:val="333333"/>
                <w:sz w:val="18"/>
                <w:szCs w:val="18"/>
                <w:rFonts w:ascii="Consolas" w:eastAsia="Consolas" w:hAnsi="Consolas" w:cs="Consolas"/>
              </w:rPr>
              <w:t xml:space="preserve">  --approved-by "OT Engineer - &lt;your name&gt;" --moc-ref MOC-2026-XXXX</w:t>
            </w:r>
          </w:p>
          <w:p>
            <w:r>
              <w:rPr>
                <w:color w:val="333333"/>
                <w:sz w:val="18"/>
                <w:szCs w:val="18"/>
                <w:rFonts w:ascii="Consolas" w:eastAsia="Consolas" w:hAnsi="Consolas" w:cs="Consolas"/>
              </w:rPr>
              <w:t xml:space="preserve">python3 plc_integrity_check.py --check PLC-MAIN-01 plc_main_current.st</w:t>
            </w:r>
          </w:p>
        </w:tc>
      </w:tr>
    </w:tbl>
    <w:p>
      <w:pPr>
        <w:spacing w:after="100" w:line="320" w:lineRule="auto"/>
        <w:ind w:left="720" w:hanging="360"/>
      </w:pPr>
      <w:r>
        <w:rPr>
          <w:b/>
          <w:bCs/>
        </w:rPr>
        <w:t xml:space="preserve">3.  </w:t>
      </w:r>
      <w:r>
        <w:t xml:space="preserve">Document chain of custody for every piece of evidence you use in your report (Section 6.4.3).</w:t>
      </w:r>
    </w:p>
    <w:p>
      <w:pPr>
        <w:pStyle w:val="Heading3"/>
      </w:pPr>
      <w:r>
        <w:t xml:space="preserve">Deliverable</w:t>
      </w:r>
    </w:p>
    <w:p>
      <w:pPr>
        <w:spacing w:after="140" w:line="320" w:lineRule="auto"/>
      </w:pPr>
      <w:r>
        <w:t xml:space="preserve">Forensic investigation report.</w:t>
      </w:r>
    </w:p>
    <w:p>
      <w:pPr>
        <w:pStyle w:val="Heading2"/>
      </w:pPr>
      <w:r>
        <w:t xml:space="preserve">Day 5 — Network Hardening, Implementation</w:t>
      </w:r>
    </w:p>
    <w:p>
      <w:pPr>
        <w:pStyle w:val="Heading3"/>
      </w:pPr>
      <w:r>
        <w:t xml:space="preserve">Objectives</w:t>
      </w:r>
    </w:p>
    <w:p>
      <w:pPr>
        <w:spacing w:after="100" w:line="320" w:lineRule="auto"/>
        <w:ind w:left="720" w:hanging="360"/>
      </w:pPr>
      <w:r>
        <w:t xml:space="preserve">•  Implement SL-2 hardening measures against the existing Palanca lab.</w:t>
      </w:r>
    </w:p>
    <w:p>
      <w:pPr>
        <w:pStyle w:val="Heading3"/>
      </w:pPr>
      <w:r>
        <w:t xml:space="preserve">Step-by-Step (Trainee)</w:t>
      </w:r>
    </w:p>
    <w:p>
      <w:pPr>
        <w:spacing w:after="100" w:line="320" w:lineRule="auto"/>
        <w:ind w:left="720" w:hanging="360"/>
      </w:pPr>
      <w:r>
        <w:rPr>
          <w:b/>
          <w:bCs/>
        </w:rPr>
        <w:t xml:space="preserve">1.  </w:t>
      </w:r>
      <w:r>
        <w:t xml:space="preserve">Run verify_hardening.sh from the Capstone Kit BEFORE making any changes — record the baseline (expect FAILs).</w:t>
      </w:r>
    </w:p>
    <w:p>
      <w:pPr>
        <w:spacing w:after="100" w:line="320" w:lineRule="auto"/>
        <w:ind w:left="720" w:hanging="360"/>
      </w:pPr>
      <w:r>
        <w:rPr>
          <w:b/>
          <w:bCs/>
        </w:rPr>
        <w:t xml:space="preserve">2.  </w:t>
      </w:r>
      <w:r>
        <w:t xml:space="preserve">Work through hardening_checklist.md, implementing each item against your Module 2 lab (or Module 2/3 firewall extension).</w:t>
      </w:r>
    </w:p>
    <w:p>
      <w:pPr>
        <w:spacing w:after="100" w:line="320" w:lineRule="auto"/>
        <w:ind w:left="720" w:hanging="360"/>
      </w:pPr>
      <w:r>
        <w:rPr>
          <w:b/>
          <w:bCs/>
        </w:rPr>
        <w:t xml:space="preserve">3.  </w:t>
      </w:r>
      <w:r>
        <w:t xml:space="preserve">Re-run verify_hardening.sh after each major change to confirm progress.</w:t>
      </w:r>
    </w:p>
    <w:p>
      <w:pPr>
        <w:pStyle w:val="Heading3"/>
      </w:pPr>
      <w:r>
        <w:t xml:space="preserve">Deliverable</w:t>
      </w:r>
    </w:p>
    <w:p>
      <w:pPr>
        <w:spacing w:after="140" w:line="320" w:lineRule="auto"/>
      </w:pPr>
      <w:r>
        <w:t xml:space="preserve">Hardened network configuration documentation (checklist with evidence of each item).</w:t>
      </w:r>
    </w:p>
    <w:p>
      <w:pPr>
        <w:pStyle w:val="Heading2"/>
      </w:pPr>
      <w:r>
        <w:t xml:space="preserve">Day 6 — Security Posture Assessment</w:t>
      </w:r>
    </w:p>
    <w:p>
      <w:pPr>
        <w:pStyle w:val="Heading3"/>
      </w:pPr>
      <w:r>
        <w:t xml:space="preserve">Objectives</w:t>
      </w:r>
    </w:p>
    <w:p>
      <w:pPr>
        <w:spacing w:after="100" w:line="320" w:lineRule="auto"/>
        <w:ind w:left="720" w:hanging="360"/>
      </w:pPr>
      <w:r>
        <w:t xml:space="preserve">•  Quantify the hardening improvement using Module 5's tooling.</w:t>
      </w:r>
    </w:p>
    <w:p>
      <w:pPr>
        <w:pStyle w:val="Heading3"/>
      </w:pPr>
      <w:r>
        <w:t xml:space="preserve">Step-by-Step (Trainee)</w:t>
      </w:r>
    </w:p>
    <w:p>
      <w:pPr>
        <w:spacing w:after="100" w:line="320" w:lineRule="auto"/>
        <w:ind w:left="720" w:hanging="360"/>
      </w:pPr>
      <w:r>
        <w:rPr>
          <w:b/>
          <w:bCs/>
        </w:rPr>
        <w:t xml:space="preserve">1.  </w:t>
      </w:r>
      <w:r>
        <w:t xml:space="preserve">Re-run Module 5's OTSafeScanner against the now-hardened lab.</w:t>
      </w:r>
    </w:p>
    <w:p>
      <w:pPr>
        <w:spacing w:after="100" w:line="320" w:lineRule="auto"/>
        <w:ind w:left="720" w:hanging="360"/>
      </w:pPr>
      <w:r>
        <w:rPr>
          <w:b/>
          <w:bCs/>
        </w:rPr>
        <w:t xml:space="preserve">2.  </w:t>
      </w:r>
      <w:r>
        <w:t xml:space="preserve">Compare the new scan results (open ports, NSE-discoverable info) against your original Module 5 lab scan.</w:t>
      </w:r>
    </w:p>
    <w:p>
      <w:pPr>
        <w:spacing w:after="100" w:line="320" w:lineRule="auto"/>
        <w:ind w:left="720" w:hanging="360"/>
      </w:pPr>
      <w:r>
        <w:rPr>
          <w:b/>
          <w:bCs/>
        </w:rPr>
        <w:t xml:space="preserve">3.  </w:t>
      </w:r>
      <w:r>
        <w:t xml:space="preserve">Identify and document any gaps that hardening did not close, with a plan to address them.</w:t>
      </w:r>
    </w:p>
    <w:p>
      <w:pPr>
        <w:pStyle w:val="Heading3"/>
      </w:pPr>
      <w:r>
        <w:t xml:space="preserve">Deliverable</w:t>
      </w:r>
    </w:p>
    <w:p>
      <w:pPr>
        <w:spacing w:after="140" w:line="320" w:lineRule="auto"/>
      </w:pPr>
      <w:r>
        <w:t xml:space="preserve">Post-hardening assessment report with a before/after compliance scorecard.</w:t>
      </w:r>
    </w:p>
    <w:p>
      <w:pPr>
        <w:pStyle w:val="Heading2"/>
      </w:pPr>
      <w:r>
        <w:t xml:space="preserve">Day 7 — Assessment Day</w:t>
      </w:r>
    </w:p>
    <w:p>
      <w:pPr>
        <w:spacing w:after="140" w:line="320" w:lineRule="auto"/>
      </w:pPr>
      <w:r>
        <w:t xml:space="preserve">Trainees submit all lab deliverables (3 playbooks, 2 tabletop reports, forensic report, hardening documentation, posture assessment report), present tabletop lessons learned to the cohort, demonstrate a forensic analysis technique live, and sit the 90-minute Knowledge Check.</w:t>
      </w:r>
    </w:p>
    <w:sectPr>
      <w:headerReference w:type="default" r:id="rId7"/>
      <w:footerReference w:type="default" r:id="rId8"/>
      <w:pgSz w:w="12240" w:h="15840" w:orient="portrait"/>
      <w:pgMar w:top="12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1"/>
      </w:pBdr>
      <w:spacing w:before="80"/>
      <w:jc w:val="center"/>
    </w:pPr>
    <w:r>
      <w:rPr>
        <w:rFonts w:ascii="Aptos" w:cs="Aptos" w:eastAsia="Aptos" w:hAnsi="Aptos"/>
        <w:color w:val="415A77"/>
        <w:sz w:val="16"/>
        <w:szCs w:val="16"/>
      </w:rPr>
      <w:t xml:space="preserve">Global Oceon Engineers Nigeria Limited  |  Confidential  |  Page </w:t>
    </w:r>
    <w:r>
      <w:rPr>
        <w:rFonts w:ascii="Aptos" w:cs="Aptos" w:eastAsia="Aptos" w:hAnsi="Aptos"/>
        <w:color w:val="415A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1"/>
      </w:pBdr>
      <w:spacing w:after="80"/>
    </w:pPr>
    <w:r>
      <w:drawing>
        <wp:inline distT="0" distB="0" distL="0" distR="0">
          <wp:extent cx="7620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190500"/>
                  </a:xfrm>
                  <a:prstGeom prst="rect">
                    <a:avLst/>
                  </a:prstGeom>
                </pic:spPr>
              </pic:pic>
            </a:graphicData>
          </a:graphic>
        </wp:inline>
      </w:drawing>
    </w:r>
    <w:r>
      <w:rPr>
        <w:rFonts w:ascii="Aptos" w:cs="Aptos" w:eastAsia="Aptos" w:hAnsi="Aptos"/>
        <w:i/>
        <w:iCs/>
        <w:color w:val="2E75B6"/>
        <w:sz w:val="16"/>
        <w:szCs w:val="16"/>
      </w:rPr>
      <w:t xml:space="preserve">    Module 6 | Cyber-Energy Security for Critical Infrastructure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e6f73650cdb7df83900964e216a8be089846417.png"/><Relationship Id="rId10" Type="http://schemas.openxmlformats.org/officeDocument/2006/relationships/image" Target="media/d9518fd12c66384043dc9d350da4383df411936a.png"/><Relationship Id="rId11" Type="http://schemas.openxmlformats.org/officeDocument/2006/relationships/image" Target="media/aeb329e9ef1644d465de5ada0f374392d5cd80c4.png"/><Relationship Id="rId12" Type="http://schemas.openxmlformats.org/officeDocument/2006/relationships/image" Target="media/4b5c539afc56236dc5169ab2304daac94c7f6107.png"/><Relationship Id="rId13" Type="http://schemas.openxmlformats.org/officeDocument/2006/relationships/image" Target="media/2d81ae5db6cd069f3d7ec8f01e4c6c9b4407f334.png"/><Relationship Id="rId14" Type="http://schemas.openxmlformats.org/officeDocument/2006/relationships/image" Target="media/97fe62b6be724b05f4f3a2b2c92add142bb68b7d.png"/><Relationship Id="rId15" Type="http://schemas.openxmlformats.org/officeDocument/2006/relationships/image" Target="media/e8cb6e5d3ba39bd7326e2cfa38bfeaccbe111786.png"/><Relationship Id="rId16" Type="http://schemas.openxmlformats.org/officeDocument/2006/relationships/image" Target="media/da7c2fd1f16fc05affe8b10106cf4f48e20dbec5.png"/><Relationship Id="rId17" Type="http://schemas.openxmlformats.org/officeDocument/2006/relationships/image" Target="media/53571cf5659a239c739cf1abfae179c5e6c67aa6.png"/><Relationship Id="rId18"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30f19e150fb7d01f51a65e328e502c1f493f399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2026-04-12T22:23:20.635Z</dcterms:created>
  <dcterms:modified xsi:type="dcterms:W3CDTF">2026-04-12T22:23:20.635Z</dcterms:modified>
</cp:coreProperties>
</file>

<file path=docProps/custom.xml><?xml version="1.0" encoding="utf-8"?>
<Properties xmlns="http://schemas.openxmlformats.org/officeDocument/2006/custom-properties" xmlns:vt="http://schemas.openxmlformats.org/officeDocument/2006/docPropsVTypes"/>
</file>