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Liaison CS Meeting Agenda – Thursday 9/26/24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Statement of Work (~30mins maximum)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strange grammar/layout glitches come from PDF-docx conversion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Dr. Backus’ stated feedback and discussion points</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Discussion of our statement that the project may not succeed.</w:t>
      </w:r>
    </w:p>
    <w:p w:rsidR="00000000" w:rsidDel="00000000" w:rsidP="00000000" w:rsidRDefault="00000000" w:rsidRPr="00000000" w14:paraId="00000007">
      <w:pPr>
        <w:numPr>
          <w:ilvl w:val="3"/>
          <w:numId w:val="1"/>
        </w:numPr>
        <w:ind w:left="2880" w:hanging="360"/>
      </w:pPr>
      <w:r w:rsidDel="00000000" w:rsidR="00000000" w:rsidRPr="00000000">
        <w:rPr>
          <w:rtl w:val="0"/>
        </w:rPr>
        <w:t xml:space="preserve">Based on the papers Dr. Backus has provided, we believe that our tool will perform similarly to the models described in the papers. We will not know what level of performance we will achieve until we have spent some time approaching the problem. There’s unfortunately no way for us to examine the dataset and estimate the difficulty or an upper performance limit, and committing in our Statement of Work to meet even a generous performance metric will put us in an uncomfortable position if it turns out not to be feasible.</w:t>
      </w:r>
    </w:p>
    <w:p w:rsidR="00000000" w:rsidDel="00000000" w:rsidP="00000000" w:rsidRDefault="00000000" w:rsidRPr="00000000" w14:paraId="00000008">
      <w:pPr>
        <w:numPr>
          <w:ilvl w:val="3"/>
          <w:numId w:val="1"/>
        </w:numPr>
        <w:ind w:left="2880" w:hanging="360"/>
      </w:pPr>
      <w:r w:rsidDel="00000000" w:rsidR="00000000" w:rsidRPr="00000000">
        <w:rPr>
          <w:rtl w:val="0"/>
        </w:rPr>
        <w:t xml:space="preserve">Please be assured that we have moved comfortably into solution exploration and are now handling the target data. This team is confident, capable, and has your various priorities in mind.</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Time for input from all liaisons on this point–what can we do for you with the above information in mind?</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CS jargon should be explained better for non-CS readers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Comments from Dr. Reif?</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Comments from Dr. Cooper?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Our progress so far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We are working on solutions using the mosquito data. It’s very exploratory but we’ve begun with very initial training attempts.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We (especially Zach) are continually finding ways to improve cleaning and manipulation of the data for our purposes.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have found the phase transitions graph very helpful!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Time for any specific progress any team members want to describe.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Question from Milo on transition matrix &amp; specific transition regularity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Time for further questions from the team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Time for further questions/concerns/discussion from liaisons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